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7963" w14:textId="52C17B8D" w:rsidR="00955689" w:rsidRPr="000059DB" w:rsidRDefault="007C51C4" w:rsidP="001C18FE">
      <w:pP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Computer Tools for Packaging</w:t>
      </w:r>
    </w:p>
    <w:p w14:paraId="11D2BD02" w14:textId="45C58975" w:rsidR="00955689" w:rsidRPr="000059DB" w:rsidRDefault="00F43911" w:rsidP="001C18FE">
      <w:pPr>
        <w:jc w:val="center"/>
        <w:rPr>
          <w:color w:val="0070C0"/>
        </w:rPr>
      </w:pPr>
      <w:r>
        <w:rPr>
          <w:color w:val="0070C0"/>
        </w:rPr>
        <w:t>PKG</w:t>
      </w:r>
      <w:r w:rsidR="00B12580">
        <w:rPr>
          <w:color w:val="0070C0"/>
        </w:rPr>
        <w:t>4</w:t>
      </w:r>
      <w:r w:rsidR="007C51C4">
        <w:rPr>
          <w:color w:val="0070C0"/>
        </w:rPr>
        <w:t>101C</w:t>
      </w:r>
    </w:p>
    <w:p w14:paraId="5CA9BABC" w14:textId="34B6E7C8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Class Periods:</w:t>
      </w:r>
      <w:r w:rsidRPr="000059DB">
        <w:t xml:space="preserve">   </w:t>
      </w:r>
      <w:r w:rsidR="0038628E">
        <w:rPr>
          <w:color w:val="0070C0"/>
        </w:rPr>
        <w:t>T,</w:t>
      </w:r>
      <w:r w:rsidR="00773F2C">
        <w:rPr>
          <w:color w:val="0070C0"/>
        </w:rPr>
        <w:t xml:space="preserve"> </w:t>
      </w:r>
      <w:r w:rsidR="0038628E">
        <w:rPr>
          <w:color w:val="0070C0"/>
        </w:rPr>
        <w:t>Th 12:50 – 2:45 (periods 6 -7)</w:t>
      </w:r>
    </w:p>
    <w:p w14:paraId="43C083BF" w14:textId="31F15B18" w:rsidR="0038628E" w:rsidRPr="000059DB" w:rsidRDefault="00955689" w:rsidP="00E44353">
      <w:pPr>
        <w:jc w:val="center"/>
        <w:rPr>
          <w:color w:val="0070C0"/>
        </w:rPr>
      </w:pPr>
      <w:r w:rsidRPr="000059DB">
        <w:rPr>
          <w:b/>
          <w:i/>
        </w:rPr>
        <w:t>Location:</w:t>
      </w:r>
      <w:r w:rsidRPr="000059DB">
        <w:t xml:space="preserve">   </w:t>
      </w:r>
      <w:r w:rsidR="00F43911">
        <w:rPr>
          <w:color w:val="0070C0"/>
        </w:rPr>
        <w:t xml:space="preserve">Rogers </w:t>
      </w:r>
      <w:r w:rsidR="00C17C6B">
        <w:rPr>
          <w:color w:val="0070C0"/>
        </w:rPr>
        <w:t>2</w:t>
      </w:r>
      <w:r w:rsidR="00EC736F">
        <w:rPr>
          <w:color w:val="0070C0"/>
        </w:rPr>
        <w:t>83</w:t>
      </w:r>
      <w:r w:rsidR="00D4555E">
        <w:rPr>
          <w:color w:val="0070C0"/>
        </w:rPr>
        <w:t xml:space="preserve"> &amp; Zoom as required</w:t>
      </w:r>
    </w:p>
    <w:p w14:paraId="671E951D" w14:textId="5834925B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Academic Term</w:t>
      </w:r>
      <w:r w:rsidR="00DF7C49" w:rsidRPr="000059DB">
        <w:rPr>
          <w:b/>
          <w:i/>
        </w:rPr>
        <w:t>:</w:t>
      </w:r>
      <w:r w:rsidR="00DF7C49" w:rsidRPr="000059DB">
        <w:t xml:space="preserve"> Spring</w:t>
      </w:r>
      <w:r w:rsidR="006A6E05">
        <w:rPr>
          <w:color w:val="0070C0"/>
        </w:rPr>
        <w:t xml:space="preserve"> 202</w:t>
      </w:r>
      <w:r w:rsidR="00773F2C">
        <w:rPr>
          <w:color w:val="0070C0"/>
        </w:rPr>
        <w:t>6</w:t>
      </w:r>
    </w:p>
    <w:p w14:paraId="1B4B7924" w14:textId="77777777" w:rsidR="00955689" w:rsidRPr="000059DB" w:rsidRDefault="00955689">
      <w:pPr>
        <w:rPr>
          <w:u w:val="single"/>
        </w:rPr>
      </w:pPr>
    </w:p>
    <w:p w14:paraId="39731A5E" w14:textId="77777777" w:rsidR="00955689" w:rsidRPr="000059DB" w:rsidRDefault="00955689">
      <w:pPr>
        <w:rPr>
          <w:b/>
          <w:i/>
        </w:rPr>
      </w:pPr>
      <w:r w:rsidRPr="000059DB">
        <w:rPr>
          <w:b/>
          <w:i/>
        </w:rPr>
        <w:t>Instructor:</w:t>
      </w:r>
    </w:p>
    <w:p w14:paraId="0FC75C25" w14:textId="337AE2D1" w:rsidR="00955689" w:rsidRPr="000059DB" w:rsidRDefault="00F43911">
      <w:pPr>
        <w:rPr>
          <w:color w:val="0070C0"/>
        </w:rPr>
      </w:pPr>
      <w:r>
        <w:rPr>
          <w:color w:val="0070C0"/>
        </w:rPr>
        <w:t>Bruce Welt, Professor</w:t>
      </w:r>
    </w:p>
    <w:p w14:paraId="6E26C2AB" w14:textId="4EA48BE5" w:rsidR="00955689" w:rsidRPr="000059DB" w:rsidRDefault="00F43911">
      <w:pPr>
        <w:rPr>
          <w:color w:val="0070C0"/>
          <w:u w:val="single"/>
        </w:rPr>
      </w:pPr>
      <w:r>
        <w:rPr>
          <w:color w:val="0070C0"/>
          <w:u w:val="single"/>
        </w:rPr>
        <w:t>bwelt@ufl.edu</w:t>
      </w:r>
    </w:p>
    <w:p w14:paraId="6007020C" w14:textId="6CDF580D" w:rsidR="00955689" w:rsidRPr="000059DB" w:rsidRDefault="00F43911">
      <w:pPr>
        <w:rPr>
          <w:color w:val="0070C0"/>
        </w:rPr>
      </w:pPr>
      <w:r>
        <w:rPr>
          <w:color w:val="0070C0"/>
        </w:rPr>
        <w:t>352-294-6730</w:t>
      </w:r>
    </w:p>
    <w:p w14:paraId="07E65DCE" w14:textId="58E5D2E5" w:rsidR="00955689" w:rsidRPr="000059DB" w:rsidRDefault="00955689">
      <w:pPr>
        <w:rPr>
          <w:color w:val="0070C0"/>
        </w:rPr>
      </w:pPr>
      <w:r w:rsidRPr="000059DB">
        <w:t xml:space="preserve">Office Hours:   </w:t>
      </w:r>
      <w:r w:rsidR="0038628E">
        <w:rPr>
          <w:color w:val="0070C0"/>
        </w:rPr>
        <w:t>W, F (1-3PM)</w:t>
      </w:r>
    </w:p>
    <w:p w14:paraId="2BA95A57" w14:textId="77777777" w:rsidR="00955689" w:rsidRPr="000059DB" w:rsidRDefault="00955689">
      <w:pPr>
        <w:rPr>
          <w:color w:val="0070C0"/>
        </w:rPr>
      </w:pPr>
    </w:p>
    <w:p w14:paraId="7A10310C" w14:textId="77777777" w:rsidR="004547C4" w:rsidRPr="000059DB" w:rsidRDefault="004547C4" w:rsidP="00955689">
      <w:pPr>
        <w:rPr>
          <w:b/>
          <w:i/>
        </w:rPr>
      </w:pPr>
      <w:r w:rsidRPr="000059DB">
        <w:rPr>
          <w:b/>
          <w:i/>
        </w:rPr>
        <w:t>Course Description</w:t>
      </w:r>
    </w:p>
    <w:p w14:paraId="7AB10670" w14:textId="10AF0787" w:rsidR="004547C4" w:rsidRPr="000059DB" w:rsidRDefault="00487A25" w:rsidP="00955689">
      <w:r w:rsidRPr="00487A25">
        <w:rPr>
          <w:color w:val="0070C0"/>
        </w:rPr>
        <w:t xml:space="preserve">(3 Credits) </w:t>
      </w:r>
      <w:r w:rsidR="00C17C6B" w:rsidRPr="00C17C6B">
        <w:rPr>
          <w:color w:val="0070C0"/>
        </w:rPr>
        <w:t>Computer Tools for Packaging covers major software tools used by professionals in the packaging industry.  Students will design and develop a relational database.  Commercial label design software, Label Matrix® (Teklynx), will be used to create product labels in accordance with regulations</w:t>
      </w:r>
      <w:r w:rsidR="00581108">
        <w:rPr>
          <w:color w:val="0070C0"/>
        </w:rPr>
        <w:t>,</w:t>
      </w:r>
      <w:r w:rsidR="00C17C6B" w:rsidRPr="00C17C6B">
        <w:rPr>
          <w:color w:val="0070C0"/>
        </w:rPr>
        <w:t xml:space="preserve"> including bar codes and/or EPC codes (RFID).  Microsoft® Excel and Visual Basic for Applications (VBA) will be used as an introduction to extending </w:t>
      </w:r>
      <w:r w:rsidR="00773F2C">
        <w:rPr>
          <w:color w:val="0070C0"/>
        </w:rPr>
        <w:t xml:space="preserve">the </w:t>
      </w:r>
      <w:r w:rsidR="00C17C6B" w:rsidRPr="00C17C6B">
        <w:rPr>
          <w:color w:val="0070C0"/>
        </w:rPr>
        <w:t xml:space="preserve">capabilities of software with programming.  </w:t>
      </w:r>
      <w:r w:rsidR="00581108">
        <w:rPr>
          <w:color w:val="0070C0"/>
        </w:rPr>
        <w:t xml:space="preserve">Students will use statistical software to analyze </w:t>
      </w:r>
      <w:r w:rsidR="00773F2C">
        <w:rPr>
          <w:color w:val="0070C0"/>
        </w:rPr>
        <w:t>data on package permeation</w:t>
      </w:r>
      <w:r w:rsidR="00581108">
        <w:rPr>
          <w:color w:val="0070C0"/>
        </w:rPr>
        <w:t xml:space="preserve">. </w:t>
      </w:r>
      <w:r w:rsidR="00C17C6B" w:rsidRPr="00C17C6B">
        <w:rPr>
          <w:color w:val="0070C0"/>
        </w:rPr>
        <w:t>3D design software</w:t>
      </w:r>
      <w:r w:rsidR="00773F2C">
        <w:rPr>
          <w:color w:val="0070C0"/>
        </w:rPr>
        <w:t>, including Cape Pack®, SolidWorks®, and ArtiosCAD®,</w:t>
      </w:r>
      <w:r w:rsidR="00C17C6B" w:rsidRPr="00C17C6B">
        <w:rPr>
          <w:color w:val="0070C0"/>
        </w:rPr>
        <w:t xml:space="preserve"> will be used to develop packaging concepts and assess distribution efficiencies of various designs.  Team projects will allow students to solve comprehensive packaging problems.</w:t>
      </w:r>
    </w:p>
    <w:p w14:paraId="7450E86D" w14:textId="024F1FB1" w:rsidR="007539EC" w:rsidRPr="000059DB" w:rsidRDefault="00B12580" w:rsidP="004547C4">
      <w:pPr>
        <w:rPr>
          <w:b/>
          <w:i/>
        </w:rPr>
      </w:pPr>
      <w:r>
        <w:rPr>
          <w:b/>
          <w:i/>
        </w:rPr>
        <w:br/>
      </w:r>
      <w:r w:rsidR="007539EC" w:rsidRPr="000059DB">
        <w:rPr>
          <w:b/>
          <w:i/>
        </w:rPr>
        <w:t>Course Pre-Requisites / Co-Requisites</w:t>
      </w:r>
    </w:p>
    <w:p w14:paraId="74B8A4CE" w14:textId="77777777" w:rsidR="007539EC" w:rsidRPr="000059DB" w:rsidRDefault="007539EC" w:rsidP="004547C4">
      <w:pPr>
        <w:rPr>
          <w:b/>
          <w:i/>
        </w:rPr>
      </w:pPr>
    </w:p>
    <w:p w14:paraId="6A976A92" w14:textId="77777777" w:rsidR="004547C4" w:rsidRPr="000059DB" w:rsidRDefault="004547C4" w:rsidP="004547C4">
      <w:pPr>
        <w:rPr>
          <w:b/>
          <w:i/>
        </w:rPr>
      </w:pPr>
      <w:r w:rsidRPr="000059DB">
        <w:rPr>
          <w:b/>
          <w:i/>
        </w:rPr>
        <w:t>Course Objectives</w:t>
      </w:r>
    </w:p>
    <w:p w14:paraId="378F7AA2" w14:textId="25872D1A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Design, create</w:t>
      </w:r>
      <w:r w:rsidR="00773F2C">
        <w:rPr>
          <w:color w:val="0070C0"/>
        </w:rPr>
        <w:t>,</w:t>
      </w:r>
      <w:r w:rsidRPr="00C17C6B">
        <w:rPr>
          <w:color w:val="0070C0"/>
        </w:rPr>
        <w:t xml:space="preserve"> and productively use relational databases.</w:t>
      </w:r>
    </w:p>
    <w:p w14:paraId="166071DF" w14:textId="77777777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Create product label templates with Label Matrix in accordance with labeling regulations.</w:t>
      </w:r>
    </w:p>
    <w:p w14:paraId="0CFD2366" w14:textId="64DA4B49" w:rsid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 xml:space="preserve">Use MS-Excel and programming with VBA to solve </w:t>
      </w:r>
      <w:r w:rsidR="00773F2C">
        <w:rPr>
          <w:color w:val="0070C0"/>
        </w:rPr>
        <w:t>packaging-related</w:t>
      </w:r>
      <w:r w:rsidRPr="00C17C6B">
        <w:rPr>
          <w:color w:val="0070C0"/>
        </w:rPr>
        <w:t xml:space="preserve"> problems.  Use MS VBA to code programs that use spreadsheet data as inputs, execute subroutines and functions, and display output on a spreadsheet.</w:t>
      </w:r>
    </w:p>
    <w:p w14:paraId="19F2A301" w14:textId="69922824" w:rsidR="00581108" w:rsidRPr="00C17C6B" w:rsidRDefault="00581108" w:rsidP="00C17C6B">
      <w:pPr>
        <w:pStyle w:val="ListParagraph"/>
        <w:numPr>
          <w:ilvl w:val="0"/>
          <w:numId w:val="26"/>
        </w:numPr>
        <w:rPr>
          <w:color w:val="0070C0"/>
        </w:rPr>
      </w:pPr>
      <w:r>
        <w:rPr>
          <w:color w:val="0070C0"/>
        </w:rPr>
        <w:t>Analyze experimental package gas permeation data using statistical software.</w:t>
      </w:r>
    </w:p>
    <w:p w14:paraId="6643BA0C" w14:textId="77777777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Use SolidWorks to create 3D models for package designs.</w:t>
      </w:r>
    </w:p>
    <w:p w14:paraId="4F454ED3" w14:textId="4DDA0268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Use Tops/CapePack Software to analyze primary package design in conjunction with shipper boxes, pallets</w:t>
      </w:r>
      <w:r w:rsidR="00773F2C">
        <w:rPr>
          <w:color w:val="0070C0"/>
        </w:rPr>
        <w:t>,</w:t>
      </w:r>
      <w:r w:rsidRPr="00C17C6B">
        <w:rPr>
          <w:color w:val="0070C0"/>
        </w:rPr>
        <w:t xml:space="preserve"> and trucks to analyze distribution efficiency.</w:t>
      </w:r>
    </w:p>
    <w:p w14:paraId="30EDE725" w14:textId="77777777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Design packaging concepts using ArtiosCAD software.</w:t>
      </w:r>
    </w:p>
    <w:p w14:paraId="31C93EE6" w14:textId="466A74A9" w:rsidR="00C17C6B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 xml:space="preserve">Use </w:t>
      </w:r>
      <w:r w:rsidR="008E1AE2">
        <w:rPr>
          <w:color w:val="0070C0"/>
        </w:rPr>
        <w:t>MS-PowerPoint</w:t>
      </w:r>
      <w:r w:rsidRPr="00C17C6B">
        <w:rPr>
          <w:color w:val="0070C0"/>
        </w:rPr>
        <w:t xml:space="preserve"> software to create presentations of solutions.</w:t>
      </w:r>
    </w:p>
    <w:p w14:paraId="31382555" w14:textId="698B98D9" w:rsidR="00B12580" w:rsidRPr="00C17C6B" w:rsidRDefault="00C17C6B" w:rsidP="00C17C6B">
      <w:pPr>
        <w:pStyle w:val="ListParagraph"/>
        <w:numPr>
          <w:ilvl w:val="0"/>
          <w:numId w:val="26"/>
        </w:numPr>
        <w:rPr>
          <w:color w:val="0070C0"/>
        </w:rPr>
      </w:pPr>
      <w:r w:rsidRPr="00C17C6B">
        <w:rPr>
          <w:color w:val="0070C0"/>
        </w:rPr>
        <w:t>US MS-Word to write concise technical reports to convey project information.</w:t>
      </w:r>
    </w:p>
    <w:p w14:paraId="301343D3" w14:textId="77777777" w:rsidR="001C18FE" w:rsidRPr="000059DB" w:rsidRDefault="001C18FE" w:rsidP="004547C4">
      <w:pPr>
        <w:rPr>
          <w:color w:val="0070C0"/>
        </w:rPr>
      </w:pPr>
    </w:p>
    <w:p w14:paraId="6E1DB7A9" w14:textId="77777777" w:rsidR="001C18FE" w:rsidRPr="000059DB" w:rsidRDefault="001C18FE" w:rsidP="004547C4">
      <w:pPr>
        <w:rPr>
          <w:b/>
          <w:i/>
        </w:rPr>
      </w:pPr>
      <w:r w:rsidRPr="000059DB">
        <w:rPr>
          <w:b/>
          <w:i/>
        </w:rPr>
        <w:t>Materials and Supply Fees</w:t>
      </w:r>
    </w:p>
    <w:p w14:paraId="051BCF93" w14:textId="483CD476" w:rsidR="001C18FE" w:rsidRPr="000059DB" w:rsidRDefault="00487A25" w:rsidP="004547C4">
      <w:pPr>
        <w:rPr>
          <w:color w:val="0070C0"/>
        </w:rPr>
      </w:pPr>
      <w:r>
        <w:rPr>
          <w:color w:val="0070C0"/>
        </w:rPr>
        <w:t>None</w:t>
      </w:r>
    </w:p>
    <w:p w14:paraId="16F6F393" w14:textId="77777777" w:rsidR="001C18FE" w:rsidRPr="000059DB" w:rsidRDefault="001C18FE" w:rsidP="004547C4">
      <w:pPr>
        <w:rPr>
          <w:color w:val="0070C0"/>
        </w:rPr>
      </w:pPr>
    </w:p>
    <w:p w14:paraId="1AEB1895" w14:textId="77777777" w:rsidR="00F433D1" w:rsidRPr="000059DB" w:rsidRDefault="00F433D1">
      <w:pPr>
        <w:rPr>
          <w:b/>
          <w:i/>
        </w:rPr>
      </w:pPr>
      <w:r w:rsidRPr="000059DB">
        <w:rPr>
          <w:b/>
          <w:i/>
        </w:rPr>
        <w:t>Professional Component (ABET):</w:t>
      </w:r>
    </w:p>
    <w:p w14:paraId="481ADF39" w14:textId="076CE9E3" w:rsidR="00F433D1" w:rsidRPr="000059DB" w:rsidRDefault="00487A25">
      <w:pPr>
        <w:rPr>
          <w:color w:val="0070C0"/>
        </w:rPr>
      </w:pPr>
      <w:r w:rsidRPr="00487A25">
        <w:rPr>
          <w:color w:val="0070C0"/>
        </w:rPr>
        <w:t>This course contributes 3 credit hours of approved technical elective credit.</w:t>
      </w:r>
      <w:r w:rsidR="00F433D1" w:rsidRPr="000059DB">
        <w:rPr>
          <w:color w:val="0070C0"/>
        </w:rPr>
        <w:t xml:space="preserve">  </w:t>
      </w:r>
    </w:p>
    <w:p w14:paraId="49F27868" w14:textId="77777777" w:rsidR="00F433D1" w:rsidRPr="000059DB" w:rsidRDefault="00F433D1">
      <w:pPr>
        <w:rPr>
          <w:color w:val="0070C0"/>
        </w:rPr>
      </w:pPr>
    </w:p>
    <w:p w14:paraId="44F14732" w14:textId="30112E2D" w:rsidR="00F433D1" w:rsidRPr="000059DB" w:rsidRDefault="00F433D1">
      <w:pPr>
        <w:rPr>
          <w:b/>
          <w:i/>
        </w:rPr>
      </w:pPr>
      <w:r w:rsidRPr="000059DB">
        <w:rPr>
          <w:b/>
          <w:i/>
        </w:rPr>
        <w:t>Relation to Program Outcomes (ABET):</w:t>
      </w:r>
    </w:p>
    <w:p w14:paraId="1E25438D" w14:textId="00C4A79A" w:rsidR="00D2542F" w:rsidRPr="000059DB" w:rsidRDefault="00D2542F">
      <w:pPr>
        <w:rPr>
          <w:color w:val="0070C0"/>
        </w:rPr>
      </w:pPr>
      <w:r w:rsidRPr="000059DB">
        <w:rPr>
          <w:color w:val="0070C0"/>
        </w:rPr>
        <w:t xml:space="preserve">The table below is an example.  </w:t>
      </w:r>
      <w:r w:rsidR="00467129" w:rsidRPr="000059DB">
        <w:rPr>
          <w:color w:val="0070C0"/>
        </w:rPr>
        <w:t>Please consult with your department’s ABET coordinator when filling this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433D1" w:rsidRPr="000059DB" w14:paraId="4266437F" w14:textId="77777777" w:rsidTr="00F433D1">
        <w:tc>
          <w:tcPr>
            <w:tcW w:w="5395" w:type="dxa"/>
            <w:shd w:val="clear" w:color="auto" w:fill="BDD6EE" w:themeFill="accent1" w:themeFillTint="66"/>
          </w:tcPr>
          <w:p w14:paraId="77451F1B" w14:textId="77777777" w:rsidR="00F433D1" w:rsidRPr="000059DB" w:rsidRDefault="00F433D1">
            <w:pPr>
              <w:rPr>
                <w:b/>
              </w:rPr>
            </w:pPr>
            <w:r w:rsidRPr="000059DB">
              <w:rPr>
                <w:b/>
              </w:rPr>
              <w:t>Outcome</w:t>
            </w:r>
          </w:p>
        </w:tc>
        <w:tc>
          <w:tcPr>
            <w:tcW w:w="5395" w:type="dxa"/>
            <w:shd w:val="clear" w:color="auto" w:fill="BDD6EE" w:themeFill="accent1" w:themeFillTint="66"/>
          </w:tcPr>
          <w:p w14:paraId="31C735C3" w14:textId="77777777" w:rsidR="00F433D1" w:rsidRPr="000059DB" w:rsidRDefault="00F433D1">
            <w:pPr>
              <w:rPr>
                <w:b/>
                <w:vertAlign w:val="superscript"/>
              </w:rPr>
            </w:pPr>
            <w:r w:rsidRPr="000059DB">
              <w:rPr>
                <w:b/>
              </w:rPr>
              <w:t>Coverage</w:t>
            </w:r>
            <w:r w:rsidRPr="000059DB">
              <w:rPr>
                <w:b/>
                <w:vertAlign w:val="superscript"/>
              </w:rPr>
              <w:t>*</w:t>
            </w:r>
          </w:p>
        </w:tc>
      </w:tr>
      <w:tr w:rsidR="00D2542F" w:rsidRPr="000059DB" w14:paraId="6B932233" w14:textId="77777777" w:rsidTr="00F433D1">
        <w:tc>
          <w:tcPr>
            <w:tcW w:w="5395" w:type="dxa"/>
          </w:tcPr>
          <w:p w14:paraId="683827D1" w14:textId="78A1DD8D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identify, formulate, and solve engineering problems by applying principles of engineering, science, and mathematics.</w:t>
            </w:r>
          </w:p>
        </w:tc>
        <w:tc>
          <w:tcPr>
            <w:tcW w:w="5395" w:type="dxa"/>
          </w:tcPr>
          <w:p w14:paraId="4D5C5E1B" w14:textId="5153DA85" w:rsidR="00F433D1" w:rsidRPr="000059DB" w:rsidRDefault="00C17C6B">
            <w:pPr>
              <w:rPr>
                <w:color w:val="0070C0"/>
              </w:rPr>
            </w:pPr>
            <w:r>
              <w:rPr>
                <w:color w:val="0070C0"/>
              </w:rPr>
              <w:t>Medium</w:t>
            </w:r>
          </w:p>
        </w:tc>
      </w:tr>
      <w:tr w:rsidR="00D2542F" w:rsidRPr="000059DB" w14:paraId="13B552C0" w14:textId="77777777" w:rsidTr="00F433D1">
        <w:tc>
          <w:tcPr>
            <w:tcW w:w="5395" w:type="dxa"/>
          </w:tcPr>
          <w:p w14:paraId="0693EA0E" w14:textId="1907A4DD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apply both analysis and synthesis in the engineering design process, resulting in designs that meet desired needs.</w:t>
            </w:r>
          </w:p>
        </w:tc>
        <w:tc>
          <w:tcPr>
            <w:tcW w:w="5395" w:type="dxa"/>
          </w:tcPr>
          <w:p w14:paraId="7386C15F" w14:textId="229D0C76" w:rsidR="00F433D1" w:rsidRPr="000059DB" w:rsidRDefault="00C17C6B">
            <w:pPr>
              <w:rPr>
                <w:color w:val="0070C0"/>
              </w:rPr>
            </w:pPr>
            <w:r>
              <w:rPr>
                <w:color w:val="0070C0"/>
              </w:rPr>
              <w:t>High</w:t>
            </w:r>
          </w:p>
        </w:tc>
      </w:tr>
      <w:tr w:rsidR="00D2542F" w:rsidRPr="000059DB" w14:paraId="1677A51A" w14:textId="77777777" w:rsidTr="00F433D1">
        <w:tc>
          <w:tcPr>
            <w:tcW w:w="5395" w:type="dxa"/>
          </w:tcPr>
          <w:p w14:paraId="2E343F55" w14:textId="7AE02FD9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An ability to develop and conduct appropriate experimentation, analyze and interpret data, and use engineering judgment to draw conclusions.</w:t>
            </w:r>
          </w:p>
        </w:tc>
        <w:tc>
          <w:tcPr>
            <w:tcW w:w="5395" w:type="dxa"/>
          </w:tcPr>
          <w:p w14:paraId="256E6078" w14:textId="77777777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3BC33291" w14:textId="77777777" w:rsidTr="00F433D1">
        <w:tc>
          <w:tcPr>
            <w:tcW w:w="5395" w:type="dxa"/>
          </w:tcPr>
          <w:p w14:paraId="07059131" w14:textId="3B1112B6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An ability to communicate effectively with a range of audiences</w:t>
            </w:r>
          </w:p>
        </w:tc>
        <w:tc>
          <w:tcPr>
            <w:tcW w:w="5395" w:type="dxa"/>
          </w:tcPr>
          <w:p w14:paraId="7B9FC7DC" w14:textId="6E8779A6" w:rsidR="00F433D1" w:rsidRPr="000059DB" w:rsidRDefault="00C17C6B">
            <w:pPr>
              <w:rPr>
                <w:color w:val="0070C0"/>
              </w:rPr>
            </w:pPr>
            <w:r>
              <w:rPr>
                <w:color w:val="0070C0"/>
              </w:rPr>
              <w:t>Low</w:t>
            </w:r>
          </w:p>
        </w:tc>
      </w:tr>
      <w:tr w:rsidR="00D2542F" w:rsidRPr="000059DB" w14:paraId="647A2231" w14:textId="77777777" w:rsidTr="00F433D1">
        <w:tc>
          <w:tcPr>
            <w:tcW w:w="5395" w:type="dxa"/>
          </w:tcPr>
          <w:p w14:paraId="4A77B107" w14:textId="17B0E5DF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recognize ethical and professional responsibilities in engineering situations and make informed judgments, which must consider the impact of engineering solutions in global, economic, environmental, and societal contexts.</w:t>
            </w:r>
          </w:p>
        </w:tc>
        <w:tc>
          <w:tcPr>
            <w:tcW w:w="5395" w:type="dxa"/>
          </w:tcPr>
          <w:p w14:paraId="6CCF36E7" w14:textId="5E52C94B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4637A3F0" w14:textId="77777777" w:rsidTr="00F433D1">
        <w:tc>
          <w:tcPr>
            <w:tcW w:w="5395" w:type="dxa"/>
          </w:tcPr>
          <w:p w14:paraId="3C7EAFC1" w14:textId="331863F7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recognize the ongoing need for additional knowledge and locate, evaluate, integrate, and apply this knowledge appropriately.</w:t>
            </w:r>
          </w:p>
        </w:tc>
        <w:tc>
          <w:tcPr>
            <w:tcW w:w="5395" w:type="dxa"/>
          </w:tcPr>
          <w:p w14:paraId="632965EA" w14:textId="2B9DB17E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2B11A4BD" w14:textId="77777777" w:rsidTr="00F433D1">
        <w:tc>
          <w:tcPr>
            <w:tcW w:w="5395" w:type="dxa"/>
          </w:tcPr>
          <w:p w14:paraId="5F991789" w14:textId="1387DDB2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function effectively on teams that establish goals, plan tasks, meet deadlines, and analyze risk and uncertainty</w:t>
            </w:r>
          </w:p>
        </w:tc>
        <w:tc>
          <w:tcPr>
            <w:tcW w:w="5395" w:type="dxa"/>
          </w:tcPr>
          <w:p w14:paraId="0F28CB73" w14:textId="439E1925" w:rsidR="00F433D1" w:rsidRPr="000059DB" w:rsidRDefault="00F433D1">
            <w:pPr>
              <w:rPr>
                <w:color w:val="0070C0"/>
              </w:rPr>
            </w:pPr>
          </w:p>
        </w:tc>
      </w:tr>
    </w:tbl>
    <w:p w14:paraId="29162B13" w14:textId="3876D8DD" w:rsidR="00F433D1" w:rsidRPr="000059DB" w:rsidRDefault="00F433D1" w:rsidP="00F433D1">
      <w:pPr>
        <w:ind w:left="360"/>
        <w:rPr>
          <w:color w:val="0070C0"/>
        </w:rPr>
      </w:pPr>
      <w:r w:rsidRPr="000059DB">
        <w:rPr>
          <w:color w:val="0070C0"/>
          <w:vertAlign w:val="superscript"/>
        </w:rPr>
        <w:t>*</w:t>
      </w:r>
      <w:r w:rsidRPr="000059DB">
        <w:rPr>
          <w:color w:val="0070C0"/>
        </w:rPr>
        <w:t xml:space="preserve">Coverage is given as high, medium, or low.  An empty box indicates that this outcome is not </w:t>
      </w:r>
      <w:r w:rsidR="00467129" w:rsidRPr="000059DB">
        <w:rPr>
          <w:color w:val="0070C0"/>
        </w:rPr>
        <w:t>covered or assessed in</w:t>
      </w:r>
      <w:r w:rsidRPr="000059DB">
        <w:rPr>
          <w:color w:val="0070C0"/>
        </w:rPr>
        <w:t xml:space="preserve"> the course.</w:t>
      </w:r>
    </w:p>
    <w:p w14:paraId="527F3C29" w14:textId="22066E35" w:rsidR="00F433D1" w:rsidRPr="000059DB" w:rsidRDefault="00F433D1">
      <w:pPr>
        <w:rPr>
          <w:b/>
          <w:i/>
        </w:rPr>
      </w:pPr>
    </w:p>
    <w:p w14:paraId="7633DCF0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 xml:space="preserve">Required Textbooks and Software </w:t>
      </w:r>
    </w:p>
    <w:p w14:paraId="4A99D182" w14:textId="23A64315" w:rsidR="001C18FE" w:rsidRPr="000059DB" w:rsidRDefault="00487A25" w:rsidP="001C18FE">
      <w:r w:rsidRPr="00487A25">
        <w:rPr>
          <w:color w:val="0070C0"/>
        </w:rPr>
        <w:t>None</w:t>
      </w:r>
      <w:r w:rsidR="001C18FE" w:rsidRPr="00487A25">
        <w:rPr>
          <w:color w:val="0070C0"/>
        </w:rPr>
        <w:br/>
      </w:r>
    </w:p>
    <w:p w14:paraId="0A073A0D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>Recommended Materials</w:t>
      </w:r>
    </w:p>
    <w:p w14:paraId="7068A3C0" w14:textId="2147FFC1" w:rsidR="001C18FE" w:rsidRPr="000059DB" w:rsidRDefault="00C17C6B" w:rsidP="004547C4">
      <w:pPr>
        <w:rPr>
          <w:color w:val="0070C0"/>
        </w:rPr>
      </w:pPr>
      <w:r>
        <w:t>Course lecture notes, software help files.</w:t>
      </w:r>
      <w:r w:rsidR="00B12580">
        <w:br/>
      </w:r>
    </w:p>
    <w:p w14:paraId="4BDE912E" w14:textId="77777777" w:rsidR="001C18FE" w:rsidRPr="000059DB" w:rsidRDefault="001C18FE" w:rsidP="00955689">
      <w:pPr>
        <w:rPr>
          <w:b/>
          <w:i/>
        </w:rPr>
      </w:pPr>
      <w:r w:rsidRPr="000059DB">
        <w:rPr>
          <w:b/>
          <w:i/>
        </w:rPr>
        <w:t>Course Schedule</w:t>
      </w:r>
    </w:p>
    <w:p w14:paraId="34745C91" w14:textId="645912B5" w:rsidR="001C18FE" w:rsidRPr="000059DB" w:rsidRDefault="00820834" w:rsidP="00955689">
      <w:r w:rsidRPr="000059DB">
        <w:t>Week 1:</w:t>
      </w:r>
      <w:r w:rsidRPr="000059DB">
        <w:tab/>
      </w:r>
      <w:r w:rsidR="00C17C6B">
        <w:t>Relational Databases</w:t>
      </w:r>
    </w:p>
    <w:p w14:paraId="2D05996D" w14:textId="77777777" w:rsidR="00C17C6B" w:rsidRPr="000059DB" w:rsidRDefault="00820834" w:rsidP="00C17C6B">
      <w:r w:rsidRPr="000059DB">
        <w:t>Week 2:</w:t>
      </w:r>
      <w:r w:rsidRPr="000059DB">
        <w:tab/>
      </w:r>
      <w:r w:rsidR="00C17C6B">
        <w:t>Relational Databases</w:t>
      </w:r>
    </w:p>
    <w:p w14:paraId="765CC05C" w14:textId="05A42744" w:rsidR="00772495" w:rsidRDefault="00772495" w:rsidP="00820834">
      <w:r w:rsidRPr="00772495">
        <w:t>Week 3</w:t>
      </w:r>
      <w:r>
        <w:t>:</w:t>
      </w:r>
      <w:r>
        <w:tab/>
      </w:r>
      <w:r w:rsidR="00C17C6B">
        <w:t>Database driven label design</w:t>
      </w:r>
    </w:p>
    <w:p w14:paraId="32D467E8" w14:textId="15EBE7BC" w:rsidR="00737CEA" w:rsidRDefault="00772495" w:rsidP="00820834">
      <w:r>
        <w:t>Week 4:</w:t>
      </w:r>
      <w:r>
        <w:tab/>
      </w:r>
      <w:r w:rsidR="00C17C6B">
        <w:t>Database driven label design</w:t>
      </w:r>
    </w:p>
    <w:p w14:paraId="1E085737" w14:textId="72218592" w:rsidR="00737CEA" w:rsidRDefault="00737CEA" w:rsidP="00820834">
      <w:r>
        <w:t>Week 5:</w:t>
      </w:r>
      <w:r>
        <w:tab/>
      </w:r>
      <w:r w:rsidR="00C17C6B">
        <w:t>VBA Excel</w:t>
      </w:r>
    </w:p>
    <w:p w14:paraId="2F656C3C" w14:textId="77777777" w:rsidR="00C17C6B" w:rsidRDefault="00820834" w:rsidP="00820834">
      <w:r w:rsidRPr="000059DB">
        <w:t xml:space="preserve">Week </w:t>
      </w:r>
      <w:r w:rsidR="00737CEA">
        <w:t>6</w:t>
      </w:r>
      <w:r w:rsidRPr="000059DB">
        <w:t>:</w:t>
      </w:r>
      <w:r w:rsidRPr="000059DB">
        <w:tab/>
      </w:r>
      <w:r w:rsidR="00C17C6B">
        <w:t xml:space="preserve">VBA Excel </w:t>
      </w:r>
    </w:p>
    <w:p w14:paraId="50CE2BA1" w14:textId="2245B785" w:rsidR="00737CEA" w:rsidRDefault="00737CEA" w:rsidP="00820834">
      <w:r>
        <w:t>Week 7:</w:t>
      </w:r>
      <w:r>
        <w:tab/>
      </w:r>
      <w:r w:rsidR="001A667F">
        <w:t xml:space="preserve">Statistical Analysis </w:t>
      </w:r>
      <w:r w:rsidR="00581108">
        <w:t>- r</w:t>
      </w:r>
    </w:p>
    <w:p w14:paraId="5369DDEF" w14:textId="56CD6ECC" w:rsidR="00737CEA" w:rsidRDefault="00737CEA" w:rsidP="00820834">
      <w:r>
        <w:t>Week 8:</w:t>
      </w:r>
      <w:r>
        <w:tab/>
      </w:r>
      <w:r w:rsidR="00C17C6B">
        <w:t>Distribution Optimization (Cape/Tops)</w:t>
      </w:r>
    </w:p>
    <w:p w14:paraId="6775159B" w14:textId="4637C68D" w:rsidR="00737CEA" w:rsidRDefault="00737CEA" w:rsidP="00820834">
      <w:r>
        <w:t>Week 9:</w:t>
      </w:r>
      <w:r>
        <w:tab/>
      </w:r>
      <w:r w:rsidR="00C17C6B">
        <w:t>Distribution Optimization (Cape/Tops)</w:t>
      </w:r>
    </w:p>
    <w:p w14:paraId="1BCD5289" w14:textId="18E6C00D" w:rsidR="00737CEA" w:rsidRDefault="00737CEA" w:rsidP="00820834">
      <w:r>
        <w:t>Week 10:</w:t>
      </w:r>
      <w:r>
        <w:tab/>
      </w:r>
      <w:r w:rsidR="00C17C6B">
        <w:t>Distribution Optimization (Cape/Tops)</w:t>
      </w:r>
    </w:p>
    <w:p w14:paraId="2410395D" w14:textId="17FF4D49" w:rsidR="00737CEA" w:rsidRDefault="00737CEA" w:rsidP="00820834">
      <w:r>
        <w:t>Week 11:</w:t>
      </w:r>
      <w:r>
        <w:tab/>
      </w:r>
      <w:r w:rsidR="00C17C6B">
        <w:t>Corrugate/Paperboard package design (ArtiosCAD)</w:t>
      </w:r>
    </w:p>
    <w:p w14:paraId="1DF8A983" w14:textId="643A9241" w:rsidR="00737CEA" w:rsidRDefault="00737CEA" w:rsidP="00820834">
      <w:r>
        <w:t>Week 12:</w:t>
      </w:r>
      <w:r>
        <w:tab/>
      </w:r>
      <w:r w:rsidR="00C17C6B">
        <w:t>Corrugate/Paperboard package design (ArtiosCAD)</w:t>
      </w:r>
    </w:p>
    <w:p w14:paraId="76CE88C8" w14:textId="6C625FF5" w:rsidR="001A667F" w:rsidRDefault="00737CEA" w:rsidP="00820834">
      <w:r>
        <w:t>Week 13:</w:t>
      </w:r>
      <w:r>
        <w:tab/>
      </w:r>
      <w:r w:rsidR="001A667F">
        <w:t>Primary Package Design (SolidWorks)</w:t>
      </w:r>
    </w:p>
    <w:p w14:paraId="0E9C5BC7" w14:textId="4A40F51D" w:rsidR="00CF2A83" w:rsidRDefault="00737CEA" w:rsidP="00820834">
      <w:r>
        <w:t>Week 14:</w:t>
      </w:r>
      <w:r>
        <w:tab/>
      </w:r>
      <w:r w:rsidR="001A667F">
        <w:t>Primary Package Design (SolidWorks)</w:t>
      </w:r>
    </w:p>
    <w:p w14:paraId="669EBB0C" w14:textId="09434B96" w:rsidR="00737CEA" w:rsidRPr="000059DB" w:rsidRDefault="00737CEA" w:rsidP="006A6E05">
      <w:pPr>
        <w:ind w:left="1440" w:hanging="1530"/>
        <w:rPr>
          <w:color w:val="0070C0"/>
        </w:rPr>
      </w:pPr>
    </w:p>
    <w:p w14:paraId="31573725" w14:textId="77777777" w:rsidR="00820834" w:rsidRPr="000059DB" w:rsidRDefault="00820834"/>
    <w:p w14:paraId="79EB4A53" w14:textId="77777777" w:rsidR="00820834" w:rsidRPr="000059DB" w:rsidRDefault="00DD0E35" w:rsidP="00820834">
      <w:pPr>
        <w:rPr>
          <w:b/>
          <w:i/>
        </w:rPr>
      </w:pPr>
      <w:r w:rsidRPr="000059DB">
        <w:rPr>
          <w:b/>
          <w:i/>
        </w:rPr>
        <w:t xml:space="preserve">Attendance Policy, Class </w:t>
      </w:r>
      <w:r w:rsidR="00820834" w:rsidRPr="000059DB">
        <w:rPr>
          <w:b/>
          <w:i/>
        </w:rPr>
        <w:t>Expectations</w:t>
      </w:r>
      <w:r w:rsidRPr="000059DB">
        <w:rPr>
          <w:b/>
          <w:i/>
        </w:rPr>
        <w:t>, and Make-Up Policy</w:t>
      </w:r>
    </w:p>
    <w:p w14:paraId="5AB578E8" w14:textId="6B8841D1" w:rsidR="001B26B3" w:rsidRPr="000059DB" w:rsidRDefault="005B2C60" w:rsidP="001B26B3">
      <w:pPr>
        <w:jc w:val="both"/>
        <w:rPr>
          <w:color w:val="0070C0"/>
        </w:rPr>
      </w:pPr>
      <w:r>
        <w:rPr>
          <w:color w:val="0070C0"/>
        </w:rPr>
        <w:t>A</w:t>
      </w:r>
      <w:r w:rsidR="006E7FC7" w:rsidRPr="000059DB">
        <w:rPr>
          <w:color w:val="0070C0"/>
        </w:rPr>
        <w:t xml:space="preserve">ttendance is required </w:t>
      </w:r>
      <w:r>
        <w:rPr>
          <w:color w:val="0070C0"/>
        </w:rPr>
        <w:t xml:space="preserve">and </w:t>
      </w:r>
      <w:r w:rsidR="006E7FC7" w:rsidRPr="000059DB">
        <w:rPr>
          <w:color w:val="0070C0"/>
        </w:rPr>
        <w:t>monitored</w:t>
      </w:r>
      <w:r>
        <w:rPr>
          <w:color w:val="0070C0"/>
        </w:rPr>
        <w:t xml:space="preserve"> by </w:t>
      </w:r>
      <w:r w:rsidR="00773F2C">
        <w:rPr>
          <w:color w:val="0070C0"/>
        </w:rPr>
        <w:t xml:space="preserve">a </w:t>
      </w:r>
      <w:r>
        <w:rPr>
          <w:color w:val="0070C0"/>
        </w:rPr>
        <w:t>sign-in sheet.</w:t>
      </w:r>
      <w:r w:rsidR="006E7FC7" w:rsidRPr="000059DB">
        <w:rPr>
          <w:color w:val="0070C0"/>
        </w:rPr>
        <w:t xml:space="preserve">  </w:t>
      </w:r>
      <w:r>
        <w:rPr>
          <w:color w:val="0070C0"/>
        </w:rPr>
        <w:t xml:space="preserve">Each unexcused absence may </w:t>
      </w:r>
      <w:r w:rsidR="00773F2C">
        <w:rPr>
          <w:color w:val="0070C0"/>
        </w:rPr>
        <w:t>result in a grade point deduction</w:t>
      </w:r>
      <w:r>
        <w:rPr>
          <w:color w:val="0070C0"/>
        </w:rPr>
        <w:t xml:space="preserve">. </w:t>
      </w:r>
      <w:r w:rsidR="001B26B3" w:rsidRPr="000059DB">
        <w:rPr>
          <w:color w:val="0070C0"/>
        </w:rPr>
        <w:t xml:space="preserve">Excused absences </w:t>
      </w:r>
      <w:r w:rsidR="00AB22AF" w:rsidRPr="000059DB">
        <w:rPr>
          <w:color w:val="0070C0"/>
        </w:rPr>
        <w:t>must be</w:t>
      </w:r>
      <w:r w:rsidR="001B26B3" w:rsidRPr="000059DB">
        <w:rPr>
          <w:color w:val="0070C0"/>
        </w:rPr>
        <w:t xml:space="preserve"> consistent with university policies in the undergraduate catalog (</w:t>
      </w:r>
      <w:hyperlink r:id="rId8" w:history="1">
        <w:r w:rsidR="001E46EC" w:rsidRPr="002164E2">
          <w:rPr>
            <w:rStyle w:val="Hyperlink"/>
          </w:rPr>
          <w:t>https://catalog.ufl.edu/ugrad/current/regulations/info/attendance.aspx</w:t>
        </w:r>
      </w:hyperlink>
      <w:r w:rsidR="00D2542F" w:rsidRPr="000059DB">
        <w:rPr>
          <w:color w:val="0070C0"/>
        </w:rPr>
        <w:t>)</w:t>
      </w:r>
      <w:r w:rsidR="001B26B3" w:rsidRPr="000059DB">
        <w:rPr>
          <w:color w:val="0070C0"/>
        </w:rPr>
        <w:t xml:space="preserve"> and </w:t>
      </w:r>
      <w:r>
        <w:rPr>
          <w:color w:val="0070C0"/>
        </w:rPr>
        <w:t xml:space="preserve">may </w:t>
      </w:r>
      <w:r w:rsidR="001B26B3" w:rsidRPr="000059DB">
        <w:rPr>
          <w:color w:val="0070C0"/>
        </w:rPr>
        <w:t>require appropriate documentation.</w:t>
      </w:r>
    </w:p>
    <w:p w14:paraId="5CD91B84" w14:textId="77777777" w:rsidR="006E7FC7" w:rsidRPr="000059DB" w:rsidRDefault="006E7FC7" w:rsidP="00820834">
      <w:pPr>
        <w:rPr>
          <w:color w:val="0070C0"/>
        </w:rPr>
      </w:pPr>
    </w:p>
    <w:p w14:paraId="347F10E5" w14:textId="77777777" w:rsidR="001A667F" w:rsidRDefault="001A667F">
      <w:pPr>
        <w:rPr>
          <w:b/>
          <w:i/>
        </w:rPr>
      </w:pPr>
      <w:r>
        <w:rPr>
          <w:b/>
          <w:i/>
        </w:rPr>
        <w:br w:type="page"/>
      </w:r>
    </w:p>
    <w:p w14:paraId="10017178" w14:textId="071B119B" w:rsidR="006E7FC7" w:rsidRPr="000059DB" w:rsidRDefault="006E7FC7" w:rsidP="00820834">
      <w:pPr>
        <w:rPr>
          <w:b/>
          <w:i/>
        </w:rPr>
      </w:pPr>
      <w:r w:rsidRPr="000059DB">
        <w:rPr>
          <w:b/>
          <w:i/>
        </w:rPr>
        <w:lastRenderedPageBreak/>
        <w:t>Evaluation of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2970"/>
      </w:tblGrid>
      <w:tr w:rsidR="006E7FC7" w:rsidRPr="000059DB" w14:paraId="086AA3D4" w14:textId="77777777" w:rsidTr="006E7FC7">
        <w:tc>
          <w:tcPr>
            <w:tcW w:w="2425" w:type="dxa"/>
          </w:tcPr>
          <w:p w14:paraId="226ACC42" w14:textId="77777777" w:rsidR="006E7FC7" w:rsidRPr="000059DB" w:rsidRDefault="006E7FC7" w:rsidP="00820834">
            <w:pPr>
              <w:rPr>
                <w:b/>
              </w:rPr>
            </w:pPr>
            <w:r w:rsidRPr="000059DB">
              <w:rPr>
                <w:b/>
              </w:rPr>
              <w:t>Assignment</w:t>
            </w:r>
          </w:p>
        </w:tc>
        <w:tc>
          <w:tcPr>
            <w:tcW w:w="1530" w:type="dxa"/>
          </w:tcPr>
          <w:p w14:paraId="762AB446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Total Points</w:t>
            </w:r>
          </w:p>
        </w:tc>
        <w:tc>
          <w:tcPr>
            <w:tcW w:w="2970" w:type="dxa"/>
          </w:tcPr>
          <w:p w14:paraId="5F52D963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Percentage of Final Grade</w:t>
            </w:r>
          </w:p>
        </w:tc>
      </w:tr>
      <w:tr w:rsidR="00920BA6" w:rsidRPr="000059DB" w14:paraId="53704643" w14:textId="77777777" w:rsidTr="006E7FC7">
        <w:tc>
          <w:tcPr>
            <w:tcW w:w="2425" w:type="dxa"/>
          </w:tcPr>
          <w:p w14:paraId="3081BFE3" w14:textId="7E258B62" w:rsidR="00920BA6" w:rsidRDefault="00920BA6" w:rsidP="00820834">
            <w:pPr>
              <w:rPr>
                <w:color w:val="0070C0"/>
              </w:rPr>
            </w:pPr>
          </w:p>
        </w:tc>
        <w:tc>
          <w:tcPr>
            <w:tcW w:w="1530" w:type="dxa"/>
          </w:tcPr>
          <w:p w14:paraId="7CAB3011" w14:textId="4089B65B" w:rsidR="00920BA6" w:rsidRDefault="00920BA6" w:rsidP="006E7FC7">
            <w:pPr>
              <w:jc w:val="center"/>
              <w:rPr>
                <w:color w:val="0070C0"/>
              </w:rPr>
            </w:pPr>
          </w:p>
        </w:tc>
        <w:tc>
          <w:tcPr>
            <w:tcW w:w="2970" w:type="dxa"/>
          </w:tcPr>
          <w:p w14:paraId="4E5FFCC1" w14:textId="50D2C2D8" w:rsidR="00920BA6" w:rsidRDefault="00920BA6" w:rsidP="006E7FC7">
            <w:pPr>
              <w:jc w:val="center"/>
              <w:rPr>
                <w:color w:val="0070C0"/>
              </w:rPr>
            </w:pPr>
          </w:p>
        </w:tc>
      </w:tr>
      <w:tr w:rsidR="006E7FC7" w:rsidRPr="000059DB" w14:paraId="6398C783" w14:textId="77777777" w:rsidTr="006E7FC7">
        <w:tc>
          <w:tcPr>
            <w:tcW w:w="2425" w:type="dxa"/>
          </w:tcPr>
          <w:p w14:paraId="7E1BAEF7" w14:textId="0AC6E77D" w:rsidR="006E7FC7" w:rsidRPr="000059DB" w:rsidRDefault="00C17C6B" w:rsidP="00820834">
            <w:pPr>
              <w:rPr>
                <w:color w:val="0070C0"/>
              </w:rPr>
            </w:pPr>
            <w:r>
              <w:rPr>
                <w:color w:val="0070C0"/>
              </w:rPr>
              <w:t xml:space="preserve">Projects </w:t>
            </w:r>
            <w:r w:rsidR="001B48D3">
              <w:rPr>
                <w:color w:val="0070C0"/>
              </w:rPr>
              <w:t>(6-7)</w:t>
            </w:r>
          </w:p>
        </w:tc>
        <w:tc>
          <w:tcPr>
            <w:tcW w:w="1530" w:type="dxa"/>
          </w:tcPr>
          <w:p w14:paraId="0714275B" w14:textId="1981D1B0" w:rsidR="006E7FC7" w:rsidRPr="000059DB" w:rsidRDefault="00C17C6B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600-</w:t>
            </w:r>
            <w:r w:rsidR="001B48D3">
              <w:rPr>
                <w:color w:val="0070C0"/>
              </w:rPr>
              <w:t>700</w:t>
            </w:r>
          </w:p>
        </w:tc>
        <w:tc>
          <w:tcPr>
            <w:tcW w:w="2970" w:type="dxa"/>
          </w:tcPr>
          <w:p w14:paraId="2B3677A5" w14:textId="76CCF7FD" w:rsidR="006E7FC7" w:rsidRPr="000059DB" w:rsidRDefault="00274C26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920BA6">
              <w:rPr>
                <w:color w:val="0070C0"/>
              </w:rPr>
              <w:t>0</w:t>
            </w:r>
            <w:r w:rsidR="00C17C6B">
              <w:rPr>
                <w:color w:val="0070C0"/>
              </w:rPr>
              <w:t>%</w:t>
            </w:r>
          </w:p>
        </w:tc>
      </w:tr>
    </w:tbl>
    <w:p w14:paraId="108A546C" w14:textId="77777777" w:rsidR="006E7FC7" w:rsidRPr="000059DB" w:rsidRDefault="006E7FC7" w:rsidP="00820834">
      <w:pPr>
        <w:rPr>
          <w:b/>
        </w:rPr>
      </w:pPr>
    </w:p>
    <w:p w14:paraId="25D5660A" w14:textId="4E988382" w:rsidR="006E7FC7" w:rsidRDefault="006E7FC7" w:rsidP="00820834">
      <w:pPr>
        <w:rPr>
          <w:b/>
          <w:i/>
        </w:rPr>
      </w:pPr>
      <w:r w:rsidRPr="000059DB">
        <w:rPr>
          <w:b/>
          <w:i/>
        </w:rPr>
        <w:t>Grading Policy</w:t>
      </w:r>
      <w:r w:rsidR="006A6E05">
        <w:rPr>
          <w:b/>
          <w:i/>
        </w:rPr>
        <w:t xml:space="preserve"> – Note that all exam and homework scores are rounded up to nearest whole number.</w:t>
      </w:r>
    </w:p>
    <w:p w14:paraId="06606C8B" w14:textId="77777777" w:rsidR="00773F2C" w:rsidRDefault="00773F2C" w:rsidP="00820834">
      <w:pPr>
        <w:rPr>
          <w:b/>
          <w:i/>
        </w:rPr>
      </w:pPr>
    </w:p>
    <w:p w14:paraId="6794CC01" w14:textId="77777777" w:rsidR="00773F2C" w:rsidRPr="001A667F" w:rsidRDefault="00773F2C" w:rsidP="00773F2C">
      <w:pPr>
        <w:rPr>
          <w:szCs w:val="22"/>
        </w:rPr>
      </w:pPr>
      <w:r w:rsidRPr="001A667F">
        <w:rPr>
          <w:szCs w:val="22"/>
        </w:rPr>
        <w:t xml:space="preserve">All projects and assignments will be graded on a scale from 0 to 100.  </w:t>
      </w:r>
      <w:r>
        <w:rPr>
          <w:szCs w:val="22"/>
        </w:rPr>
        <w:t>All project submissions will be in the form of a written project brief using a pre-defined structure and format.  A</w:t>
      </w:r>
      <w:r w:rsidRPr="001A667F">
        <w:rPr>
          <w:szCs w:val="22"/>
        </w:rPr>
        <w:t xml:space="preserve">ll projects will have posted due dates.  Posted due dates are subject to change.  I reserve the right to not accept, accept or accept with penalty, late submissions or your work product. </w:t>
      </w:r>
      <w:r>
        <w:rPr>
          <w:szCs w:val="22"/>
        </w:rPr>
        <w:t xml:space="preserve"> </w:t>
      </w:r>
      <w:r w:rsidRPr="001A667F">
        <w:rPr>
          <w:szCs w:val="22"/>
        </w:rPr>
        <w:t>Class attendance is mandatory and weighs heavily on how any late work is treated.</w:t>
      </w:r>
    </w:p>
    <w:p w14:paraId="52631F93" w14:textId="77777777" w:rsidR="00773F2C" w:rsidRPr="001A667F" w:rsidRDefault="00773F2C" w:rsidP="00773F2C">
      <w:pPr>
        <w:rPr>
          <w:szCs w:val="22"/>
        </w:rPr>
      </w:pPr>
    </w:p>
    <w:p w14:paraId="3FBF22BE" w14:textId="77777777" w:rsidR="00773F2C" w:rsidRPr="001A667F" w:rsidRDefault="00773F2C" w:rsidP="00773F2C">
      <w:pPr>
        <w:rPr>
          <w:szCs w:val="22"/>
        </w:rPr>
      </w:pPr>
      <w:r w:rsidRPr="001A667F">
        <w:rPr>
          <w:szCs w:val="22"/>
        </w:rPr>
        <w:t>Team project scores will be computed based on contributions of team members.  Team members may receive different scores.  Be sure to not only contribute, but that team members and I can recognize your contributions.</w:t>
      </w:r>
    </w:p>
    <w:p w14:paraId="22A4B2C9" w14:textId="77777777" w:rsidR="00773F2C" w:rsidRPr="001A667F" w:rsidRDefault="00773F2C" w:rsidP="00773F2C">
      <w:pPr>
        <w:rPr>
          <w:szCs w:val="22"/>
        </w:rPr>
      </w:pPr>
    </w:p>
    <w:p w14:paraId="364DF3F5" w14:textId="236B81BE" w:rsidR="00773F2C" w:rsidRPr="00773F2C" w:rsidRDefault="00773F2C" w:rsidP="00773F2C">
      <w:pPr>
        <w:rPr>
          <w:bCs/>
          <w:iCs/>
        </w:rPr>
      </w:pPr>
      <w:r w:rsidRPr="001A667F">
        <w:rPr>
          <w:szCs w:val="22"/>
        </w:rPr>
        <w:t xml:space="preserve">Final grades will be computed from the percentage of points earned relative to the total points possible.  Grades will be assigned as follows: </w:t>
      </w:r>
    </w:p>
    <w:p w14:paraId="7ED6B1A1" w14:textId="401C91AA" w:rsidR="00FB6F04" w:rsidRPr="000059DB" w:rsidRDefault="00FB6F04" w:rsidP="00FB6F04">
      <w:pPr>
        <w:rPr>
          <w:color w:val="0070C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90"/>
        <w:gridCol w:w="1170"/>
      </w:tblGrid>
      <w:tr w:rsidR="00DD0E35" w:rsidRPr="000059DB" w14:paraId="65F8D0F6" w14:textId="77777777" w:rsidTr="00DD0E35">
        <w:trPr>
          <w:trHeight w:val="98"/>
        </w:trPr>
        <w:tc>
          <w:tcPr>
            <w:tcW w:w="1350" w:type="dxa"/>
          </w:tcPr>
          <w:p w14:paraId="06B846F5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Percent </w:t>
            </w:r>
          </w:p>
        </w:tc>
        <w:tc>
          <w:tcPr>
            <w:tcW w:w="990" w:type="dxa"/>
          </w:tcPr>
          <w:p w14:paraId="6686D6C1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</w:t>
            </w:r>
          </w:p>
        </w:tc>
        <w:tc>
          <w:tcPr>
            <w:tcW w:w="1170" w:type="dxa"/>
          </w:tcPr>
          <w:p w14:paraId="5DE99B54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Points </w:t>
            </w:r>
          </w:p>
        </w:tc>
      </w:tr>
      <w:tr w:rsidR="00DD0E35" w:rsidRPr="000059DB" w14:paraId="2BEBD8B5" w14:textId="77777777" w:rsidTr="00DD0E35">
        <w:trPr>
          <w:trHeight w:val="100"/>
        </w:trPr>
        <w:tc>
          <w:tcPr>
            <w:tcW w:w="1350" w:type="dxa"/>
          </w:tcPr>
          <w:p w14:paraId="15755957" w14:textId="3BB82DF9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9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- 100 </w:t>
            </w:r>
          </w:p>
        </w:tc>
        <w:tc>
          <w:tcPr>
            <w:tcW w:w="990" w:type="dxa"/>
          </w:tcPr>
          <w:p w14:paraId="51F12EA1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 </w:t>
            </w:r>
          </w:p>
        </w:tc>
        <w:tc>
          <w:tcPr>
            <w:tcW w:w="1170" w:type="dxa"/>
          </w:tcPr>
          <w:p w14:paraId="2C96B007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4.00 </w:t>
            </w:r>
          </w:p>
        </w:tc>
      </w:tr>
      <w:tr w:rsidR="00DD0E35" w:rsidRPr="000059DB" w14:paraId="59D9D725" w14:textId="77777777" w:rsidTr="00DD0E35">
        <w:trPr>
          <w:trHeight w:val="100"/>
        </w:trPr>
        <w:tc>
          <w:tcPr>
            <w:tcW w:w="1350" w:type="dxa"/>
          </w:tcPr>
          <w:p w14:paraId="11E55B44" w14:textId="0A53EA99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90 </w:t>
            </w:r>
            <w:r w:rsidR="009C7115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9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26EB0C6E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A- </w:t>
            </w:r>
          </w:p>
        </w:tc>
        <w:tc>
          <w:tcPr>
            <w:tcW w:w="1170" w:type="dxa"/>
          </w:tcPr>
          <w:p w14:paraId="2248B1C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3.67 </w:t>
            </w:r>
          </w:p>
        </w:tc>
      </w:tr>
      <w:tr w:rsidR="00DD0E35" w:rsidRPr="000059DB" w14:paraId="63911BDD" w14:textId="77777777" w:rsidTr="00DD0E35">
        <w:trPr>
          <w:trHeight w:val="100"/>
        </w:trPr>
        <w:tc>
          <w:tcPr>
            <w:tcW w:w="1350" w:type="dxa"/>
          </w:tcPr>
          <w:p w14:paraId="151F7FD5" w14:textId="6651CAB5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8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89</w:t>
            </w:r>
          </w:p>
        </w:tc>
        <w:tc>
          <w:tcPr>
            <w:tcW w:w="990" w:type="dxa"/>
          </w:tcPr>
          <w:p w14:paraId="7477DC9A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B+ </w:t>
            </w:r>
          </w:p>
        </w:tc>
        <w:tc>
          <w:tcPr>
            <w:tcW w:w="1170" w:type="dxa"/>
          </w:tcPr>
          <w:p w14:paraId="3556F21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3.33 </w:t>
            </w:r>
          </w:p>
        </w:tc>
      </w:tr>
      <w:tr w:rsidR="00DD0E35" w:rsidRPr="000059DB" w14:paraId="3E5EB525" w14:textId="77777777" w:rsidTr="00DD0E35">
        <w:trPr>
          <w:trHeight w:val="100"/>
        </w:trPr>
        <w:tc>
          <w:tcPr>
            <w:tcW w:w="1350" w:type="dxa"/>
          </w:tcPr>
          <w:p w14:paraId="50E6D523" w14:textId="0925B3C4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8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86</w:t>
            </w:r>
          </w:p>
        </w:tc>
        <w:tc>
          <w:tcPr>
            <w:tcW w:w="990" w:type="dxa"/>
          </w:tcPr>
          <w:p w14:paraId="428B701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 </w:t>
            </w:r>
          </w:p>
        </w:tc>
        <w:tc>
          <w:tcPr>
            <w:tcW w:w="1170" w:type="dxa"/>
          </w:tcPr>
          <w:p w14:paraId="7A58DE8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3.00 </w:t>
            </w:r>
          </w:p>
        </w:tc>
      </w:tr>
      <w:tr w:rsidR="00DD0E35" w:rsidRPr="000059DB" w14:paraId="3C1103DB" w14:textId="77777777" w:rsidTr="00DD0E35">
        <w:trPr>
          <w:trHeight w:val="100"/>
        </w:trPr>
        <w:tc>
          <w:tcPr>
            <w:tcW w:w="1350" w:type="dxa"/>
          </w:tcPr>
          <w:p w14:paraId="525811E6" w14:textId="4A0CAC2D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80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7B38D02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B- </w:t>
            </w:r>
          </w:p>
        </w:tc>
        <w:tc>
          <w:tcPr>
            <w:tcW w:w="1170" w:type="dxa"/>
          </w:tcPr>
          <w:p w14:paraId="5E354125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2.67 </w:t>
            </w:r>
          </w:p>
        </w:tc>
      </w:tr>
      <w:tr w:rsidR="00DD0E35" w:rsidRPr="000059DB" w14:paraId="3A598DF8" w14:textId="77777777" w:rsidTr="00DD0E35">
        <w:trPr>
          <w:trHeight w:val="100"/>
        </w:trPr>
        <w:tc>
          <w:tcPr>
            <w:tcW w:w="1350" w:type="dxa"/>
          </w:tcPr>
          <w:p w14:paraId="73CDB31C" w14:textId="689AEB5F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- 79 </w:t>
            </w:r>
          </w:p>
        </w:tc>
        <w:tc>
          <w:tcPr>
            <w:tcW w:w="990" w:type="dxa"/>
          </w:tcPr>
          <w:p w14:paraId="355D2F1C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C+ </w:t>
            </w:r>
          </w:p>
        </w:tc>
        <w:tc>
          <w:tcPr>
            <w:tcW w:w="1170" w:type="dxa"/>
          </w:tcPr>
          <w:p w14:paraId="52E51B6A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2.33 </w:t>
            </w:r>
          </w:p>
        </w:tc>
      </w:tr>
      <w:tr w:rsidR="00DD0E35" w:rsidRPr="000059DB" w14:paraId="221D5346" w14:textId="77777777" w:rsidTr="00DD0E35">
        <w:trPr>
          <w:trHeight w:val="100"/>
        </w:trPr>
        <w:tc>
          <w:tcPr>
            <w:tcW w:w="1350" w:type="dxa"/>
          </w:tcPr>
          <w:p w14:paraId="18A8427B" w14:textId="2A66E17E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- 76</w:t>
            </w:r>
          </w:p>
        </w:tc>
        <w:tc>
          <w:tcPr>
            <w:tcW w:w="990" w:type="dxa"/>
          </w:tcPr>
          <w:p w14:paraId="0A0B24EE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 </w:t>
            </w:r>
          </w:p>
        </w:tc>
        <w:tc>
          <w:tcPr>
            <w:tcW w:w="1170" w:type="dxa"/>
          </w:tcPr>
          <w:p w14:paraId="6894736F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2.00 </w:t>
            </w:r>
          </w:p>
        </w:tc>
      </w:tr>
      <w:tr w:rsidR="00DD0E35" w:rsidRPr="000059DB" w14:paraId="3B92EA52" w14:textId="77777777" w:rsidTr="00DD0E35">
        <w:trPr>
          <w:trHeight w:val="100"/>
        </w:trPr>
        <w:tc>
          <w:tcPr>
            <w:tcW w:w="1350" w:type="dxa"/>
          </w:tcPr>
          <w:p w14:paraId="5A107820" w14:textId="48C1372C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70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7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44DD3958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C- </w:t>
            </w:r>
          </w:p>
        </w:tc>
        <w:tc>
          <w:tcPr>
            <w:tcW w:w="1170" w:type="dxa"/>
          </w:tcPr>
          <w:p w14:paraId="75EDB703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1.67 </w:t>
            </w:r>
          </w:p>
        </w:tc>
      </w:tr>
      <w:tr w:rsidR="00DD0E35" w:rsidRPr="000059DB" w14:paraId="7F5510C7" w14:textId="77777777" w:rsidTr="00DD0E35">
        <w:trPr>
          <w:trHeight w:val="100"/>
        </w:trPr>
        <w:tc>
          <w:tcPr>
            <w:tcW w:w="1350" w:type="dxa"/>
          </w:tcPr>
          <w:p w14:paraId="0E342BED" w14:textId="26BB0202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6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- 69</w:t>
            </w:r>
          </w:p>
        </w:tc>
        <w:tc>
          <w:tcPr>
            <w:tcW w:w="990" w:type="dxa"/>
          </w:tcPr>
          <w:p w14:paraId="0285D84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D+ </w:t>
            </w:r>
          </w:p>
        </w:tc>
        <w:tc>
          <w:tcPr>
            <w:tcW w:w="1170" w:type="dxa"/>
          </w:tcPr>
          <w:p w14:paraId="63C7B419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1.33 </w:t>
            </w:r>
          </w:p>
        </w:tc>
      </w:tr>
      <w:tr w:rsidR="00DD0E35" w:rsidRPr="000059DB" w14:paraId="278C920F" w14:textId="77777777" w:rsidTr="00DD0E35">
        <w:trPr>
          <w:trHeight w:val="100"/>
        </w:trPr>
        <w:tc>
          <w:tcPr>
            <w:tcW w:w="1350" w:type="dxa"/>
          </w:tcPr>
          <w:p w14:paraId="7D719022" w14:textId="24629488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6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- 66</w:t>
            </w:r>
          </w:p>
        </w:tc>
        <w:tc>
          <w:tcPr>
            <w:tcW w:w="990" w:type="dxa"/>
          </w:tcPr>
          <w:p w14:paraId="08B373A6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 </w:t>
            </w:r>
          </w:p>
        </w:tc>
        <w:tc>
          <w:tcPr>
            <w:tcW w:w="1170" w:type="dxa"/>
          </w:tcPr>
          <w:p w14:paraId="67684E31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1.00 </w:t>
            </w:r>
          </w:p>
        </w:tc>
      </w:tr>
      <w:tr w:rsidR="00DD0E35" w:rsidRPr="000059DB" w14:paraId="3476F7F4" w14:textId="77777777" w:rsidTr="00DD0E35">
        <w:trPr>
          <w:trHeight w:val="100"/>
        </w:trPr>
        <w:tc>
          <w:tcPr>
            <w:tcW w:w="1350" w:type="dxa"/>
          </w:tcPr>
          <w:p w14:paraId="56CBFE46" w14:textId="251CD908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60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6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AE69F7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D- </w:t>
            </w:r>
          </w:p>
        </w:tc>
        <w:tc>
          <w:tcPr>
            <w:tcW w:w="1170" w:type="dxa"/>
          </w:tcPr>
          <w:p w14:paraId="2C7F8DF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0.67 </w:t>
            </w:r>
          </w:p>
        </w:tc>
      </w:tr>
      <w:tr w:rsidR="00DD0E35" w:rsidRPr="000059DB" w14:paraId="24F40FD6" w14:textId="77777777" w:rsidTr="00DD0E35">
        <w:trPr>
          <w:trHeight w:val="100"/>
        </w:trPr>
        <w:tc>
          <w:tcPr>
            <w:tcW w:w="1350" w:type="dxa"/>
          </w:tcPr>
          <w:p w14:paraId="53132BB3" w14:textId="17F8D553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0 - 59</w:t>
            </w:r>
          </w:p>
        </w:tc>
        <w:tc>
          <w:tcPr>
            <w:tcW w:w="990" w:type="dxa"/>
          </w:tcPr>
          <w:p w14:paraId="218046A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E </w:t>
            </w:r>
          </w:p>
        </w:tc>
        <w:tc>
          <w:tcPr>
            <w:tcW w:w="1170" w:type="dxa"/>
          </w:tcPr>
          <w:p w14:paraId="51221E5F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0.00 </w:t>
            </w:r>
          </w:p>
        </w:tc>
      </w:tr>
    </w:tbl>
    <w:p w14:paraId="421038BE" w14:textId="77777777" w:rsidR="00820834" w:rsidRPr="000059DB" w:rsidRDefault="00820834" w:rsidP="00820834"/>
    <w:p w14:paraId="3152A6F0" w14:textId="5566306A" w:rsidR="001A667F" w:rsidRDefault="001A667F" w:rsidP="001A667F">
      <w:pPr>
        <w:rPr>
          <w:szCs w:val="22"/>
        </w:rPr>
      </w:pPr>
      <w:r w:rsidRPr="001A667F">
        <w:rPr>
          <w:szCs w:val="22"/>
        </w:rPr>
        <w:t xml:space="preserve"> </w:t>
      </w:r>
    </w:p>
    <w:p w14:paraId="1F595C8B" w14:textId="77777777" w:rsidR="00773F2C" w:rsidRDefault="00773F2C" w:rsidP="00773F2C">
      <w:pPr>
        <w:autoSpaceDE w:val="0"/>
        <w:autoSpaceDN w:val="0"/>
        <w:adjustRightInd w:val="0"/>
        <w:rPr>
          <w:rFonts w:cs="Calibri"/>
          <w:b/>
          <w:i/>
          <w:szCs w:val="22"/>
        </w:rPr>
      </w:pPr>
      <w:r w:rsidRPr="000F0A51">
        <w:rPr>
          <w:rFonts w:cs="Calibri"/>
          <w:b/>
          <w:i/>
          <w:szCs w:val="22"/>
        </w:rPr>
        <w:t>Academic Policies &amp; Resources</w:t>
      </w:r>
    </w:p>
    <w:p w14:paraId="42400F3F" w14:textId="77777777" w:rsidR="00773F2C" w:rsidRDefault="00773F2C" w:rsidP="00773F2C">
      <w:pPr>
        <w:autoSpaceDE w:val="0"/>
        <w:autoSpaceDN w:val="0"/>
        <w:adjustRightInd w:val="0"/>
        <w:rPr>
          <w:color w:val="000000"/>
          <w:szCs w:val="22"/>
        </w:rPr>
      </w:pPr>
      <w:r w:rsidRPr="000F0A51">
        <w:rPr>
          <w:color w:val="000000"/>
          <w:szCs w:val="22"/>
        </w:rPr>
        <w:t>To support consistent and accessible communication of university-wide student resources, instructors must include this link to academic policies and campus resources:</w:t>
      </w:r>
      <w:r>
        <w:rPr>
          <w:color w:val="000000"/>
          <w:szCs w:val="22"/>
        </w:rPr>
        <w:t xml:space="preserve"> </w:t>
      </w:r>
      <w:hyperlink r:id="rId9" w:history="1">
        <w:r w:rsidRPr="00054783">
          <w:rPr>
            <w:rStyle w:val="Hyperlink"/>
            <w:szCs w:val="22"/>
          </w:rPr>
          <w:t>https://go.ufl.edu/syllabuspolicies</w:t>
        </w:r>
      </w:hyperlink>
      <w:r w:rsidRPr="000F0A51">
        <w:rPr>
          <w:color w:val="000000"/>
          <w:szCs w:val="22"/>
        </w:rPr>
        <w:t xml:space="preserve">. Instructor-specific guidelines for courses must accommodate these policies. </w:t>
      </w:r>
    </w:p>
    <w:p w14:paraId="2E95BA0E" w14:textId="77777777" w:rsidR="00773F2C" w:rsidRPr="000059DB" w:rsidRDefault="00773F2C" w:rsidP="00773F2C">
      <w:pPr>
        <w:jc w:val="both"/>
        <w:rPr>
          <w:color w:val="000000"/>
          <w:szCs w:val="22"/>
        </w:rPr>
      </w:pPr>
    </w:p>
    <w:p w14:paraId="410F8094" w14:textId="77777777" w:rsidR="00773F2C" w:rsidRPr="000059DB" w:rsidRDefault="00773F2C" w:rsidP="00773F2C">
      <w:pPr>
        <w:jc w:val="both"/>
        <w:rPr>
          <w:b/>
          <w:i/>
          <w:color w:val="000000"/>
          <w:szCs w:val="22"/>
        </w:rPr>
      </w:pPr>
      <w:r w:rsidRPr="000059DB">
        <w:rPr>
          <w:b/>
          <w:i/>
          <w:color w:val="000000"/>
          <w:szCs w:val="22"/>
        </w:rPr>
        <w:t xml:space="preserve">Commitment to a </w:t>
      </w:r>
      <w:r>
        <w:rPr>
          <w:b/>
          <w:i/>
          <w:color w:val="000000"/>
          <w:szCs w:val="22"/>
        </w:rPr>
        <w:t xml:space="preserve">Positive </w:t>
      </w:r>
      <w:r w:rsidRPr="000059DB">
        <w:rPr>
          <w:b/>
          <w:i/>
          <w:color w:val="000000"/>
          <w:szCs w:val="22"/>
        </w:rPr>
        <w:t>Learning Environment</w:t>
      </w:r>
    </w:p>
    <w:p w14:paraId="0AC49146" w14:textId="77777777" w:rsidR="00773F2C" w:rsidRPr="000059DB" w:rsidRDefault="00773F2C" w:rsidP="00773F2C">
      <w:pPr>
        <w:jc w:val="both"/>
        <w:rPr>
          <w:color w:val="000000"/>
          <w:szCs w:val="22"/>
        </w:rPr>
      </w:pPr>
      <w:r w:rsidRPr="008B3F3A">
        <w:rPr>
          <w:color w:val="000000"/>
          <w:szCs w:val="22"/>
        </w:rPr>
        <w:t xml:space="preserve">The Herbert Wertheim College of Engineering values varied perspectives and lived experiences within our community and is committed to supporting the University’s core values.  </w:t>
      </w:r>
    </w:p>
    <w:p w14:paraId="3205E64C" w14:textId="77777777" w:rsidR="00773F2C" w:rsidRPr="000059DB" w:rsidRDefault="00773F2C" w:rsidP="00773F2C">
      <w:pPr>
        <w:jc w:val="both"/>
        <w:rPr>
          <w:color w:val="000000"/>
          <w:szCs w:val="22"/>
        </w:rPr>
      </w:pPr>
    </w:p>
    <w:p w14:paraId="2760D078" w14:textId="77777777" w:rsidR="00773F2C" w:rsidRPr="000059DB" w:rsidRDefault="00773F2C" w:rsidP="00773F2C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>If you feel like your performance in class is being impacted, please contact your instructor or any of the following:</w:t>
      </w:r>
    </w:p>
    <w:p w14:paraId="482A63C9" w14:textId="77777777" w:rsidR="00773F2C" w:rsidRPr="000059DB" w:rsidRDefault="00773F2C" w:rsidP="00773F2C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Your academic advisor or </w:t>
      </w:r>
      <w:r>
        <w:rPr>
          <w:color w:val="000000"/>
          <w:szCs w:val="22"/>
        </w:rPr>
        <w:t>Undergraduate</w:t>
      </w:r>
      <w:r w:rsidRPr="000059DB">
        <w:rPr>
          <w:color w:val="000000"/>
          <w:szCs w:val="22"/>
        </w:rPr>
        <w:t xml:space="preserve"> Coordinator</w:t>
      </w:r>
    </w:p>
    <w:p w14:paraId="1D42E7D8" w14:textId="77777777" w:rsidR="00773F2C" w:rsidRPr="000059DB" w:rsidRDefault="00773F2C" w:rsidP="00773F2C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 w:rsidRPr="002C555C">
        <w:rPr>
          <w:color w:val="000000"/>
          <w:szCs w:val="22"/>
        </w:rPr>
        <w:t xml:space="preserve">HWCOE Human Resources, 352-392-0904, </w:t>
      </w:r>
      <w:hyperlink r:id="rId10" w:history="1">
        <w:r w:rsidRPr="00EB5E5F">
          <w:rPr>
            <w:rStyle w:val="Hyperlink"/>
            <w:szCs w:val="22"/>
          </w:rPr>
          <w:t>student-support-hr@eng.ufl.edu</w:t>
        </w:r>
      </w:hyperlink>
      <w:r>
        <w:rPr>
          <w:color w:val="000000"/>
          <w:szCs w:val="22"/>
        </w:rPr>
        <w:t xml:space="preserve"> </w:t>
      </w:r>
    </w:p>
    <w:p w14:paraId="2AC50A6F" w14:textId="77777777" w:rsidR="00773F2C" w:rsidRPr="000059DB" w:rsidRDefault="00773F2C" w:rsidP="00773F2C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>
        <w:rPr>
          <w:color w:val="000000"/>
          <w:szCs w:val="22"/>
        </w:rPr>
        <w:t>Pam Dickrell</w:t>
      </w:r>
      <w:r w:rsidRPr="000059DB">
        <w:rPr>
          <w:color w:val="000000"/>
          <w:szCs w:val="22"/>
        </w:rPr>
        <w:t xml:space="preserve">, Associate Dean of Student Affairs, 352-392-2177, </w:t>
      </w:r>
      <w:hyperlink r:id="rId11" w:history="1">
        <w:r w:rsidRPr="00A938A9">
          <w:rPr>
            <w:rStyle w:val="Hyperlink"/>
            <w:szCs w:val="22"/>
          </w:rPr>
          <w:t>pld@ufl.edu</w:t>
        </w:r>
      </w:hyperlink>
    </w:p>
    <w:p w14:paraId="642E0A4E" w14:textId="77777777" w:rsidR="00773F2C" w:rsidRPr="00C95EC1" w:rsidRDefault="00773F2C" w:rsidP="00773F2C">
      <w:pPr>
        <w:pStyle w:val="PlainText"/>
        <w:jc w:val="both"/>
        <w:rPr>
          <w:szCs w:val="22"/>
        </w:rPr>
      </w:pPr>
    </w:p>
    <w:p w14:paraId="4FC4296F" w14:textId="77777777" w:rsidR="001A667F" w:rsidRDefault="001A667F" w:rsidP="00820834">
      <w:pPr>
        <w:rPr>
          <w:szCs w:val="22"/>
        </w:rPr>
      </w:pPr>
    </w:p>
    <w:sectPr w:rsidR="001A667F" w:rsidSect="004547C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F074" w14:textId="77777777" w:rsidR="0035641B" w:rsidRDefault="0035641B" w:rsidP="00BE1628">
      <w:r>
        <w:separator/>
      </w:r>
    </w:p>
  </w:endnote>
  <w:endnote w:type="continuationSeparator" w:id="0">
    <w:p w14:paraId="68C1E81F" w14:textId="77777777" w:rsidR="0035641B" w:rsidRDefault="0035641B" w:rsidP="00B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C13" w14:textId="61D56422" w:rsidR="00BE1628" w:rsidRPr="00BA6E7F" w:rsidRDefault="009A21FA">
    <w:pPr>
      <w:pStyle w:val="Footer"/>
      <w:rPr>
        <w:b/>
        <w:i/>
        <w:noProof/>
        <w:color w:val="0070C0"/>
        <w:sz w:val="20"/>
      </w:rPr>
    </w:pPr>
    <w:r>
      <w:rPr>
        <w:b/>
        <w:i/>
        <w:color w:val="0070C0"/>
        <w:sz w:val="20"/>
      </w:rPr>
      <w:t>PKG4101C Computer Tools for Packaging</w:t>
    </w:r>
    <w:r w:rsidR="00BA6E7F" w:rsidRPr="00BA6E7F">
      <w:rPr>
        <w:b/>
        <w:i/>
        <w:color w:val="0070C0"/>
        <w:sz w:val="20"/>
      </w:rPr>
      <w:tab/>
    </w:r>
    <w:r w:rsidR="00BA6E7F" w:rsidRPr="00BA6E7F">
      <w:rPr>
        <w:b/>
        <w:i/>
        <w:color w:val="0070C0"/>
        <w:sz w:val="20"/>
      </w:rPr>
      <w:tab/>
      <w:t xml:space="preserve">Page </w:t>
    </w:r>
    <w:r w:rsidR="00BA6E7F" w:rsidRPr="00BA6E7F">
      <w:rPr>
        <w:b/>
        <w:i/>
        <w:color w:val="0070C0"/>
        <w:sz w:val="20"/>
      </w:rPr>
      <w:fldChar w:fldCharType="begin"/>
    </w:r>
    <w:r w:rsidR="00BA6E7F" w:rsidRPr="00BA6E7F">
      <w:rPr>
        <w:b/>
        <w:i/>
        <w:color w:val="0070C0"/>
        <w:sz w:val="20"/>
      </w:rPr>
      <w:instrText xml:space="preserve"> PAGE   \* MERGEFORMAT </w:instrText>
    </w:r>
    <w:r w:rsidR="00BA6E7F" w:rsidRPr="00BA6E7F">
      <w:rPr>
        <w:b/>
        <w:i/>
        <w:color w:val="0070C0"/>
        <w:sz w:val="20"/>
      </w:rPr>
      <w:fldChar w:fldCharType="separate"/>
    </w:r>
    <w:r w:rsidR="004E4C78">
      <w:rPr>
        <w:b/>
        <w:i/>
        <w:noProof/>
        <w:color w:val="0070C0"/>
        <w:sz w:val="20"/>
      </w:rPr>
      <w:t>4</w:t>
    </w:r>
    <w:r w:rsidR="00BA6E7F" w:rsidRPr="00BA6E7F">
      <w:rPr>
        <w:b/>
        <w:i/>
        <w:noProof/>
        <w:color w:val="0070C0"/>
        <w:sz w:val="20"/>
      </w:rPr>
      <w:fldChar w:fldCharType="end"/>
    </w:r>
  </w:p>
  <w:p w14:paraId="64F1ABEB" w14:textId="0192A126" w:rsidR="00581108" w:rsidRPr="00BA6E7F" w:rsidRDefault="009A21FA">
    <w:pPr>
      <w:pStyle w:val="Footer"/>
      <w:rPr>
        <w:b/>
        <w:i/>
        <w:noProof/>
        <w:color w:val="0070C0"/>
        <w:sz w:val="20"/>
      </w:rPr>
    </w:pPr>
    <w:r>
      <w:rPr>
        <w:b/>
        <w:i/>
        <w:noProof/>
        <w:color w:val="0070C0"/>
        <w:sz w:val="20"/>
      </w:rPr>
      <w:t>Professor Bruce Welt, Spring 202</w:t>
    </w:r>
    <w:r w:rsidR="00773F2C">
      <w:rPr>
        <w:b/>
        <w:i/>
        <w:noProof/>
        <w:color w:val="0070C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3417" w14:textId="77777777" w:rsidR="0035641B" w:rsidRDefault="0035641B" w:rsidP="00BE1628">
      <w:r>
        <w:separator/>
      </w:r>
    </w:p>
  </w:footnote>
  <w:footnote w:type="continuationSeparator" w:id="0">
    <w:p w14:paraId="64A27329" w14:textId="77777777" w:rsidR="0035641B" w:rsidRDefault="0035641B" w:rsidP="00B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8A3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21557"/>
    <w:multiLevelType w:val="hybridMultilevel"/>
    <w:tmpl w:val="C75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310"/>
    <w:multiLevelType w:val="multilevel"/>
    <w:tmpl w:val="F2BE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6A3"/>
    <w:multiLevelType w:val="hybridMultilevel"/>
    <w:tmpl w:val="FA7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727"/>
    <w:multiLevelType w:val="multilevel"/>
    <w:tmpl w:val="028C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20778"/>
    <w:multiLevelType w:val="hybridMultilevel"/>
    <w:tmpl w:val="24FE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3E1"/>
    <w:multiLevelType w:val="hybridMultilevel"/>
    <w:tmpl w:val="FFBE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FD2"/>
    <w:multiLevelType w:val="multilevel"/>
    <w:tmpl w:val="0FF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A43E7"/>
    <w:multiLevelType w:val="multilevel"/>
    <w:tmpl w:val="508A0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FA0515"/>
    <w:multiLevelType w:val="hybridMultilevel"/>
    <w:tmpl w:val="508A0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B7097"/>
    <w:multiLevelType w:val="hybridMultilevel"/>
    <w:tmpl w:val="40428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1FC7253"/>
    <w:multiLevelType w:val="hybridMultilevel"/>
    <w:tmpl w:val="6E726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5C6F"/>
    <w:multiLevelType w:val="multilevel"/>
    <w:tmpl w:val="A51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C6411"/>
    <w:multiLevelType w:val="multilevel"/>
    <w:tmpl w:val="DDDC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47263"/>
    <w:multiLevelType w:val="hybridMultilevel"/>
    <w:tmpl w:val="0AEC4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D130B"/>
    <w:multiLevelType w:val="hybridMultilevel"/>
    <w:tmpl w:val="A45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D341D"/>
    <w:multiLevelType w:val="multilevel"/>
    <w:tmpl w:val="DFA4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F3CA3"/>
    <w:multiLevelType w:val="hybridMultilevel"/>
    <w:tmpl w:val="DFA43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010E3"/>
    <w:multiLevelType w:val="multilevel"/>
    <w:tmpl w:val="EA7C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441C2"/>
    <w:multiLevelType w:val="hybridMultilevel"/>
    <w:tmpl w:val="DDDCF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F117DA"/>
    <w:multiLevelType w:val="multilevel"/>
    <w:tmpl w:val="609A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33A5E"/>
    <w:multiLevelType w:val="hybridMultilevel"/>
    <w:tmpl w:val="3BFC93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211C"/>
    <w:multiLevelType w:val="hybridMultilevel"/>
    <w:tmpl w:val="826E2ABC"/>
    <w:lvl w:ilvl="0" w:tplc="A552C7A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74E41350"/>
    <w:multiLevelType w:val="hybridMultilevel"/>
    <w:tmpl w:val="4C12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1448"/>
    <w:multiLevelType w:val="hybridMultilevel"/>
    <w:tmpl w:val="10F84C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8419764">
    <w:abstractNumId w:val="24"/>
  </w:num>
  <w:num w:numId="2" w16cid:durableId="128058052">
    <w:abstractNumId w:val="9"/>
  </w:num>
  <w:num w:numId="3" w16cid:durableId="538393053">
    <w:abstractNumId w:val="8"/>
  </w:num>
  <w:num w:numId="4" w16cid:durableId="442918936">
    <w:abstractNumId w:val="19"/>
  </w:num>
  <w:num w:numId="5" w16cid:durableId="1457792913">
    <w:abstractNumId w:val="13"/>
  </w:num>
  <w:num w:numId="6" w16cid:durableId="505557405">
    <w:abstractNumId w:val="17"/>
  </w:num>
  <w:num w:numId="7" w16cid:durableId="535040887">
    <w:abstractNumId w:val="16"/>
  </w:num>
  <w:num w:numId="8" w16cid:durableId="512380651">
    <w:abstractNumId w:val="21"/>
  </w:num>
  <w:num w:numId="9" w16cid:durableId="1084453567">
    <w:abstractNumId w:val="14"/>
  </w:num>
  <w:num w:numId="10" w16cid:durableId="368142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3173101">
    <w:abstractNumId w:val="1"/>
  </w:num>
  <w:num w:numId="12" w16cid:durableId="2022315500">
    <w:abstractNumId w:val="0"/>
  </w:num>
  <w:num w:numId="13" w16cid:durableId="979656235">
    <w:abstractNumId w:val="10"/>
  </w:num>
  <w:num w:numId="14" w16cid:durableId="1953516256">
    <w:abstractNumId w:val="6"/>
  </w:num>
  <w:num w:numId="15" w16cid:durableId="775906716">
    <w:abstractNumId w:val="23"/>
  </w:num>
  <w:num w:numId="16" w16cid:durableId="1620722373">
    <w:abstractNumId w:val="3"/>
  </w:num>
  <w:num w:numId="17" w16cid:durableId="1670134258">
    <w:abstractNumId w:val="2"/>
  </w:num>
  <w:num w:numId="18" w16cid:durableId="48458923">
    <w:abstractNumId w:val="7"/>
  </w:num>
  <w:num w:numId="19" w16cid:durableId="1724403132">
    <w:abstractNumId w:val="20"/>
  </w:num>
  <w:num w:numId="20" w16cid:durableId="1085419796">
    <w:abstractNumId w:val="18"/>
  </w:num>
  <w:num w:numId="21" w16cid:durableId="6442321">
    <w:abstractNumId w:val="12"/>
  </w:num>
  <w:num w:numId="22" w16cid:durableId="983311432">
    <w:abstractNumId w:val="4"/>
  </w:num>
  <w:num w:numId="23" w16cid:durableId="409042846">
    <w:abstractNumId w:val="22"/>
  </w:num>
  <w:num w:numId="24" w16cid:durableId="955335238">
    <w:abstractNumId w:val="15"/>
  </w:num>
  <w:num w:numId="25" w16cid:durableId="2036924751">
    <w:abstractNumId w:val="5"/>
  </w:num>
  <w:num w:numId="26" w16cid:durableId="2018846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D"/>
    <w:rsid w:val="000059DB"/>
    <w:rsid w:val="00005F7B"/>
    <w:rsid w:val="00015FB0"/>
    <w:rsid w:val="000D351A"/>
    <w:rsid w:val="000E47C0"/>
    <w:rsid w:val="00103F43"/>
    <w:rsid w:val="001512E8"/>
    <w:rsid w:val="00154552"/>
    <w:rsid w:val="00177620"/>
    <w:rsid w:val="00180A7A"/>
    <w:rsid w:val="001A667F"/>
    <w:rsid w:val="001B26B3"/>
    <w:rsid w:val="001B48D3"/>
    <w:rsid w:val="001C18FE"/>
    <w:rsid w:val="001D5808"/>
    <w:rsid w:val="001E46EC"/>
    <w:rsid w:val="00274C26"/>
    <w:rsid w:val="00294140"/>
    <w:rsid w:val="00295BC0"/>
    <w:rsid w:val="002C5169"/>
    <w:rsid w:val="002D00B0"/>
    <w:rsid w:val="00320966"/>
    <w:rsid w:val="0035641B"/>
    <w:rsid w:val="0036629D"/>
    <w:rsid w:val="003719EB"/>
    <w:rsid w:val="0038628E"/>
    <w:rsid w:val="00387576"/>
    <w:rsid w:val="0039295A"/>
    <w:rsid w:val="00402DE7"/>
    <w:rsid w:val="0042747A"/>
    <w:rsid w:val="004433FE"/>
    <w:rsid w:val="004468A9"/>
    <w:rsid w:val="00446E03"/>
    <w:rsid w:val="004547C4"/>
    <w:rsid w:val="00467129"/>
    <w:rsid w:val="00471291"/>
    <w:rsid w:val="00480431"/>
    <w:rsid w:val="0048094A"/>
    <w:rsid w:val="00486F4A"/>
    <w:rsid w:val="00487A25"/>
    <w:rsid w:val="004D0AEF"/>
    <w:rsid w:val="004E4C78"/>
    <w:rsid w:val="004F04F2"/>
    <w:rsid w:val="00581108"/>
    <w:rsid w:val="005A7F97"/>
    <w:rsid w:val="005B1CED"/>
    <w:rsid w:val="005B2C60"/>
    <w:rsid w:val="005B5148"/>
    <w:rsid w:val="005E6E52"/>
    <w:rsid w:val="006121DE"/>
    <w:rsid w:val="006371D1"/>
    <w:rsid w:val="00640AF7"/>
    <w:rsid w:val="006472C3"/>
    <w:rsid w:val="00661E7B"/>
    <w:rsid w:val="006A6E05"/>
    <w:rsid w:val="006B78E2"/>
    <w:rsid w:val="006B7948"/>
    <w:rsid w:val="006D3E0B"/>
    <w:rsid w:val="006D7E9A"/>
    <w:rsid w:val="006E5BF1"/>
    <w:rsid w:val="006E7FC7"/>
    <w:rsid w:val="00700F97"/>
    <w:rsid w:val="00716A94"/>
    <w:rsid w:val="00737CEA"/>
    <w:rsid w:val="007539EC"/>
    <w:rsid w:val="00753A75"/>
    <w:rsid w:val="007543D6"/>
    <w:rsid w:val="00762518"/>
    <w:rsid w:val="007636D8"/>
    <w:rsid w:val="00772495"/>
    <w:rsid w:val="00773F2C"/>
    <w:rsid w:val="007A3212"/>
    <w:rsid w:val="007A3FA2"/>
    <w:rsid w:val="007C51C4"/>
    <w:rsid w:val="007C6556"/>
    <w:rsid w:val="007D5860"/>
    <w:rsid w:val="007E4349"/>
    <w:rsid w:val="008015F9"/>
    <w:rsid w:val="00820834"/>
    <w:rsid w:val="00856F94"/>
    <w:rsid w:val="008618A9"/>
    <w:rsid w:val="008C3688"/>
    <w:rsid w:val="008C7A17"/>
    <w:rsid w:val="008E1AE2"/>
    <w:rsid w:val="00903900"/>
    <w:rsid w:val="00920BA6"/>
    <w:rsid w:val="00955689"/>
    <w:rsid w:val="009576C2"/>
    <w:rsid w:val="00970FF2"/>
    <w:rsid w:val="0097114A"/>
    <w:rsid w:val="00976977"/>
    <w:rsid w:val="0098386C"/>
    <w:rsid w:val="00987CF7"/>
    <w:rsid w:val="009945F2"/>
    <w:rsid w:val="009A0F7D"/>
    <w:rsid w:val="009A21FA"/>
    <w:rsid w:val="009C7115"/>
    <w:rsid w:val="009F525D"/>
    <w:rsid w:val="00A06AEA"/>
    <w:rsid w:val="00A113F9"/>
    <w:rsid w:val="00A34B9C"/>
    <w:rsid w:val="00A5651B"/>
    <w:rsid w:val="00AB22AF"/>
    <w:rsid w:val="00AB63EB"/>
    <w:rsid w:val="00AF6833"/>
    <w:rsid w:val="00B030B8"/>
    <w:rsid w:val="00B032C4"/>
    <w:rsid w:val="00B12580"/>
    <w:rsid w:val="00B55ABC"/>
    <w:rsid w:val="00B62E63"/>
    <w:rsid w:val="00B630FD"/>
    <w:rsid w:val="00BA6E7F"/>
    <w:rsid w:val="00BC3B05"/>
    <w:rsid w:val="00BD2088"/>
    <w:rsid w:val="00BE1628"/>
    <w:rsid w:val="00BE2C7E"/>
    <w:rsid w:val="00BF4C6B"/>
    <w:rsid w:val="00C009AB"/>
    <w:rsid w:val="00C155FC"/>
    <w:rsid w:val="00C16439"/>
    <w:rsid w:val="00C17C6B"/>
    <w:rsid w:val="00C32E6E"/>
    <w:rsid w:val="00C708AC"/>
    <w:rsid w:val="00C70B87"/>
    <w:rsid w:val="00C95EC1"/>
    <w:rsid w:val="00CA04E0"/>
    <w:rsid w:val="00CF2A83"/>
    <w:rsid w:val="00D04EA4"/>
    <w:rsid w:val="00D2072E"/>
    <w:rsid w:val="00D213EF"/>
    <w:rsid w:val="00D2542F"/>
    <w:rsid w:val="00D32E90"/>
    <w:rsid w:val="00D421E7"/>
    <w:rsid w:val="00D4555E"/>
    <w:rsid w:val="00D938D3"/>
    <w:rsid w:val="00D962C2"/>
    <w:rsid w:val="00DB6EE0"/>
    <w:rsid w:val="00DC7452"/>
    <w:rsid w:val="00DD0E35"/>
    <w:rsid w:val="00DD470C"/>
    <w:rsid w:val="00DD5BCC"/>
    <w:rsid w:val="00DF23B1"/>
    <w:rsid w:val="00DF3AD0"/>
    <w:rsid w:val="00DF7C49"/>
    <w:rsid w:val="00E04165"/>
    <w:rsid w:val="00E053DC"/>
    <w:rsid w:val="00E26DF0"/>
    <w:rsid w:val="00E272B1"/>
    <w:rsid w:val="00E44353"/>
    <w:rsid w:val="00E83748"/>
    <w:rsid w:val="00E857DD"/>
    <w:rsid w:val="00EC736F"/>
    <w:rsid w:val="00ED2089"/>
    <w:rsid w:val="00EE38EF"/>
    <w:rsid w:val="00EF206B"/>
    <w:rsid w:val="00F433D1"/>
    <w:rsid w:val="00F43911"/>
    <w:rsid w:val="00FB6F04"/>
    <w:rsid w:val="00FB79EB"/>
    <w:rsid w:val="00FC1957"/>
    <w:rsid w:val="00FE6428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A220"/>
  <w15:chartTrackingRefBased/>
  <w15:docId w15:val="{476CF97E-FF64-46F1-9CBD-195E51DC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689"/>
    <w:rPr>
      <w:rFonts w:ascii="Cambria" w:hAnsi="Cambr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27DD"/>
    <w:pPr>
      <w:widowControl w:val="0"/>
      <w:spacing w:after="120"/>
      <w:jc w:val="both"/>
    </w:pPr>
    <w:rPr>
      <w:color w:val="000000"/>
      <w:szCs w:val="20"/>
    </w:rPr>
  </w:style>
  <w:style w:type="character" w:styleId="Hyperlink">
    <w:name w:val="Hyperlink"/>
    <w:uiPriority w:val="99"/>
    <w:unhideWhenUsed/>
    <w:rsid w:val="00B80ACE"/>
    <w:rPr>
      <w:color w:val="0000FF"/>
      <w:u w:val="single"/>
    </w:rPr>
  </w:style>
  <w:style w:type="paragraph" w:styleId="Header">
    <w:name w:val="header"/>
    <w:basedOn w:val="Normal"/>
    <w:link w:val="HeaderChar"/>
    <w:rsid w:val="00BE16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1628"/>
    <w:rPr>
      <w:sz w:val="24"/>
      <w:szCs w:val="24"/>
    </w:rPr>
  </w:style>
  <w:style w:type="paragraph" w:styleId="Footer">
    <w:name w:val="footer"/>
    <w:basedOn w:val="Normal"/>
    <w:link w:val="FooterChar"/>
    <w:rsid w:val="00BE16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1628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6E52"/>
    <w:pPr>
      <w:ind w:left="720"/>
    </w:pPr>
  </w:style>
  <w:style w:type="character" w:styleId="FollowedHyperlink">
    <w:name w:val="FollowedHyperlink"/>
    <w:rsid w:val="00640AF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0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689"/>
    <w:pPr>
      <w:ind w:left="720"/>
      <w:contextualSpacing/>
    </w:pPr>
  </w:style>
  <w:style w:type="table" w:styleId="TableGrid">
    <w:name w:val="Table Grid"/>
    <w:basedOn w:val="TableNormal"/>
    <w:rsid w:val="006E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B26B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B26B3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1B26B3"/>
    <w:rPr>
      <w:rFonts w:ascii="Cambria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B2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B26B3"/>
    <w:rPr>
      <w:rFonts w:ascii="Cambria" w:hAnsi="Cambria"/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71291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291"/>
    <w:rPr>
      <w:rFonts w:ascii="Calibr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3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C2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fl.edu/ugrad/current/regulations/info/attendanc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d@ufl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udent-support-hr@eng.ufl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ufl.edu/syllabuspolic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D480-1CC3-443B-BE62-8C212D6A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996</Words>
  <Characters>5851</Characters>
  <Application>Microsoft Office Word</Application>
  <DocSecurity>0</DocSecurity>
  <Lines>142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Syllabus for the College of Engineering</vt:lpstr>
    </vt:vector>
  </TitlesOfParts>
  <Company>University of Florida</Company>
  <LinksUpToDate>false</LinksUpToDate>
  <CharactersWithSpaces>6762</CharactersWithSpaces>
  <SharedDoc>false</SharedDoc>
  <HLinks>
    <vt:vector size="48" baseType="variant">
      <vt:variant>
        <vt:i4>720974</vt:i4>
      </vt:variant>
      <vt:variant>
        <vt:i4>21</vt:i4>
      </vt:variant>
      <vt:variant>
        <vt:i4>0</vt:i4>
      </vt:variant>
      <vt:variant>
        <vt:i4>5</vt:i4>
      </vt:variant>
      <vt:variant>
        <vt:lpwstr>https://evaluations.ufl.edu/results/</vt:lpwstr>
      </vt:variant>
      <vt:variant>
        <vt:lpwstr/>
      </vt:variant>
      <vt:variant>
        <vt:i4>4194384</vt:i4>
      </vt:variant>
      <vt:variant>
        <vt:i4>18</vt:i4>
      </vt:variant>
      <vt:variant>
        <vt:i4>0</vt:i4>
      </vt:variant>
      <vt:variant>
        <vt:i4>5</vt:i4>
      </vt:variant>
      <vt:variant>
        <vt:lpwstr>https://evaluations.ufl.edu/</vt:lpwstr>
      </vt:variant>
      <vt:variant>
        <vt:lpwstr/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>http://www.counseling.ufl.edu/cwc/Default.aspx</vt:lpwstr>
      </vt:variant>
      <vt:variant>
        <vt:lpwstr/>
      </vt:variant>
      <vt:variant>
        <vt:i4>1835035</vt:i4>
      </vt:variant>
      <vt:variant>
        <vt:i4>12</vt:i4>
      </vt:variant>
      <vt:variant>
        <vt:i4>0</vt:i4>
      </vt:variant>
      <vt:variant>
        <vt:i4>5</vt:i4>
      </vt:variant>
      <vt:variant>
        <vt:lpwstr>http://www.dso.ufl.edu/sccr/procedures/honorcode.php</vt:lpwstr>
      </vt:variant>
      <vt:variant>
        <vt:lpwstr/>
      </vt:variant>
      <vt:variant>
        <vt:i4>3670120</vt:i4>
      </vt:variant>
      <vt:variant>
        <vt:i4>9</vt:i4>
      </vt:variant>
      <vt:variant>
        <vt:i4>0</vt:i4>
      </vt:variant>
      <vt:variant>
        <vt:i4>5</vt:i4>
      </vt:variant>
      <vt:variant>
        <vt:lpwstr>https://catalog.ufl.edu/ugrad/current/regulations/info/attendance.aspx</vt:lpwstr>
      </vt:variant>
      <vt:variant>
        <vt:lpwstr/>
      </vt:variant>
      <vt:variant>
        <vt:i4>4194320</vt:i4>
      </vt:variant>
      <vt:variant>
        <vt:i4>6</vt:i4>
      </vt:variant>
      <vt:variant>
        <vt:i4>0</vt:i4>
      </vt:variant>
      <vt:variant>
        <vt:i4>5</vt:i4>
      </vt:variant>
      <vt:variant>
        <vt:lpwstr>http://gradcatalog.ufl.edu/content.php?catoid=4&amp;navoid=907</vt:lpwstr>
      </vt:variant>
      <vt:variant>
        <vt:lpwstr>grades</vt:lpwstr>
      </vt:variant>
      <vt:variant>
        <vt:i4>2228339</vt:i4>
      </vt:variant>
      <vt:variant>
        <vt:i4>3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subject/>
  <dc:creator>Paul A. Chadik</dc:creator>
  <cp:keywords/>
  <cp:lastModifiedBy>Welt,Bruce Ari</cp:lastModifiedBy>
  <cp:revision>5</cp:revision>
  <cp:lastPrinted>2025-01-03T17:55:00Z</cp:lastPrinted>
  <dcterms:created xsi:type="dcterms:W3CDTF">2025-12-01T17:52:00Z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40ae883dbd54edbf1222cdc7a2f3400784a33da4edc2cc4ae4d8128c0d047a6d</vt:lpwstr>
  </property>
</Properties>
</file>