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7963" w14:textId="472DC497" w:rsidR="00955689" w:rsidRPr="000059DB" w:rsidRDefault="00B12580" w:rsidP="001C18FE">
      <w:pPr>
        <w:jc w:val="center"/>
        <w:rPr>
          <w:b/>
          <w:color w:val="0070C0"/>
          <w:sz w:val="24"/>
        </w:rPr>
      </w:pPr>
      <w:r>
        <w:rPr>
          <w:b/>
          <w:color w:val="0070C0"/>
          <w:sz w:val="24"/>
        </w:rPr>
        <w:t>Packaging Production and Processing</w:t>
      </w:r>
    </w:p>
    <w:p w14:paraId="11D2BD02" w14:textId="01B59E74" w:rsidR="00955689" w:rsidRPr="000059DB" w:rsidRDefault="00F43911" w:rsidP="001C18FE">
      <w:pPr>
        <w:jc w:val="center"/>
        <w:rPr>
          <w:color w:val="0070C0"/>
        </w:rPr>
      </w:pPr>
      <w:r>
        <w:rPr>
          <w:color w:val="0070C0"/>
        </w:rPr>
        <w:t>PKG</w:t>
      </w:r>
      <w:r w:rsidR="00B12580">
        <w:rPr>
          <w:color w:val="0070C0"/>
        </w:rPr>
        <w:t>4011</w:t>
      </w:r>
      <w:r w:rsidR="00955689" w:rsidRPr="000059DB">
        <w:rPr>
          <w:color w:val="0070C0"/>
        </w:rPr>
        <w:t xml:space="preserve">   Section</w:t>
      </w:r>
      <w:r w:rsidR="006E45B2">
        <w:rPr>
          <w:color w:val="0070C0"/>
        </w:rPr>
        <w:t>s</w:t>
      </w:r>
      <w:r w:rsidR="00955689" w:rsidRPr="000059DB">
        <w:rPr>
          <w:color w:val="0070C0"/>
        </w:rPr>
        <w:t xml:space="preserve"> </w:t>
      </w:r>
      <w:r w:rsidR="00B12580">
        <w:rPr>
          <w:color w:val="0070C0"/>
        </w:rPr>
        <w:t>0876</w:t>
      </w:r>
    </w:p>
    <w:p w14:paraId="5CA9BABC" w14:textId="472B3622" w:rsidR="00955689" w:rsidRPr="000059DB" w:rsidRDefault="00955689" w:rsidP="001C18FE">
      <w:pPr>
        <w:jc w:val="center"/>
        <w:rPr>
          <w:color w:val="0070C0"/>
        </w:rPr>
      </w:pPr>
      <w:r w:rsidRPr="000059DB">
        <w:rPr>
          <w:b/>
          <w:i/>
        </w:rPr>
        <w:t>Class Periods:</w:t>
      </w:r>
      <w:r w:rsidRPr="000059DB">
        <w:t xml:space="preserve">   </w:t>
      </w:r>
      <w:r w:rsidR="00F43911">
        <w:rPr>
          <w:color w:val="0070C0"/>
        </w:rPr>
        <w:t xml:space="preserve">MWF Period 5, </w:t>
      </w:r>
      <w:r w:rsidR="00C37860">
        <w:rPr>
          <w:color w:val="0070C0"/>
        </w:rPr>
        <w:t>11:45 am</w:t>
      </w:r>
      <w:r w:rsidR="00F43911">
        <w:rPr>
          <w:color w:val="0070C0"/>
        </w:rPr>
        <w:t>-</w:t>
      </w:r>
      <w:r w:rsidR="00C37860">
        <w:rPr>
          <w:color w:val="0070C0"/>
        </w:rPr>
        <w:t>12:35 pm</w:t>
      </w:r>
    </w:p>
    <w:p w14:paraId="352ECD72" w14:textId="5CAD055E" w:rsidR="003606D0" w:rsidRPr="006E56E7" w:rsidRDefault="00955689" w:rsidP="006E56E7">
      <w:pPr>
        <w:jc w:val="center"/>
        <w:rPr>
          <w:color w:val="0070C0"/>
        </w:rPr>
      </w:pPr>
      <w:r w:rsidRPr="000059DB">
        <w:rPr>
          <w:b/>
          <w:i/>
        </w:rPr>
        <w:t>Location:</w:t>
      </w:r>
      <w:r w:rsidRPr="000059DB">
        <w:t xml:space="preserve">   </w:t>
      </w:r>
      <w:r w:rsidR="00F43911">
        <w:rPr>
          <w:color w:val="0070C0"/>
        </w:rPr>
        <w:t>Rogers 110</w:t>
      </w:r>
      <w:r w:rsidR="00F2130D">
        <w:rPr>
          <w:color w:val="0070C0"/>
        </w:rPr>
        <w:t xml:space="preserve"> &amp; Zoom as required</w:t>
      </w:r>
    </w:p>
    <w:p w14:paraId="671E951D" w14:textId="66EF197A" w:rsidR="00955689" w:rsidRPr="000059DB" w:rsidRDefault="00955689" w:rsidP="001C18FE">
      <w:pPr>
        <w:jc w:val="center"/>
        <w:rPr>
          <w:color w:val="0070C0"/>
        </w:rPr>
      </w:pPr>
      <w:r w:rsidRPr="000059DB">
        <w:rPr>
          <w:b/>
          <w:i/>
        </w:rPr>
        <w:t>Academic Term</w:t>
      </w:r>
      <w:r w:rsidR="00C37860" w:rsidRPr="000059DB">
        <w:rPr>
          <w:b/>
          <w:i/>
        </w:rPr>
        <w:t>:</w:t>
      </w:r>
      <w:r w:rsidR="00C37860" w:rsidRPr="000059DB">
        <w:t xml:space="preserve"> Spring</w:t>
      </w:r>
      <w:r w:rsidR="006A6E05">
        <w:rPr>
          <w:color w:val="0070C0"/>
        </w:rPr>
        <w:t xml:space="preserve"> </w:t>
      </w:r>
      <w:r w:rsidR="00163194">
        <w:rPr>
          <w:color w:val="0070C0"/>
        </w:rPr>
        <w:t>202</w:t>
      </w:r>
      <w:r w:rsidR="00EF03C5">
        <w:rPr>
          <w:color w:val="0070C0"/>
        </w:rPr>
        <w:t>6</w:t>
      </w:r>
    </w:p>
    <w:p w14:paraId="1B4B7924" w14:textId="77777777" w:rsidR="00955689" w:rsidRPr="000059DB" w:rsidRDefault="00955689">
      <w:pPr>
        <w:rPr>
          <w:u w:val="single"/>
        </w:rPr>
      </w:pPr>
    </w:p>
    <w:p w14:paraId="39731A5E" w14:textId="77777777" w:rsidR="00955689" w:rsidRPr="000059DB" w:rsidRDefault="00955689">
      <w:pPr>
        <w:rPr>
          <w:b/>
          <w:i/>
        </w:rPr>
      </w:pPr>
      <w:r w:rsidRPr="000059DB">
        <w:rPr>
          <w:b/>
          <w:i/>
        </w:rPr>
        <w:t>Instructor:</w:t>
      </w:r>
    </w:p>
    <w:p w14:paraId="0FC75C25" w14:textId="337AE2D1" w:rsidR="00955689" w:rsidRPr="000059DB" w:rsidRDefault="00F43911">
      <w:pPr>
        <w:rPr>
          <w:color w:val="0070C0"/>
        </w:rPr>
      </w:pPr>
      <w:r>
        <w:rPr>
          <w:color w:val="0070C0"/>
        </w:rPr>
        <w:t>Bruce Welt, Professor</w:t>
      </w:r>
    </w:p>
    <w:p w14:paraId="6E26C2AB" w14:textId="4EA48BE5" w:rsidR="00955689" w:rsidRPr="000059DB" w:rsidRDefault="00F43911">
      <w:pPr>
        <w:rPr>
          <w:color w:val="0070C0"/>
          <w:u w:val="single"/>
        </w:rPr>
      </w:pPr>
      <w:r>
        <w:rPr>
          <w:color w:val="0070C0"/>
          <w:u w:val="single"/>
        </w:rPr>
        <w:t>bwelt@ufl.edu</w:t>
      </w:r>
    </w:p>
    <w:p w14:paraId="6007020C" w14:textId="6CDF580D" w:rsidR="00955689" w:rsidRPr="000059DB" w:rsidRDefault="00F43911">
      <w:pPr>
        <w:rPr>
          <w:color w:val="0070C0"/>
        </w:rPr>
      </w:pPr>
      <w:r>
        <w:rPr>
          <w:color w:val="0070C0"/>
        </w:rPr>
        <w:t>352-294-6730</w:t>
      </w:r>
    </w:p>
    <w:p w14:paraId="07E65DCE" w14:textId="12614D3B" w:rsidR="00955689" w:rsidRPr="000059DB" w:rsidRDefault="00955689">
      <w:pPr>
        <w:rPr>
          <w:color w:val="0070C0"/>
        </w:rPr>
      </w:pPr>
      <w:r w:rsidRPr="000059DB">
        <w:t xml:space="preserve">Office Hours:   </w:t>
      </w:r>
      <w:r w:rsidR="00F43911">
        <w:rPr>
          <w:color w:val="0070C0"/>
        </w:rPr>
        <w:t>MWF 1-</w:t>
      </w:r>
      <w:r w:rsidR="00C37860">
        <w:rPr>
          <w:color w:val="0070C0"/>
        </w:rPr>
        <w:t>2 PM</w:t>
      </w:r>
      <w:r w:rsidR="00B12580">
        <w:rPr>
          <w:color w:val="0070C0"/>
        </w:rPr>
        <w:t xml:space="preserve"> (or by appointment. Please </w:t>
      </w:r>
      <w:r w:rsidR="005F04C2">
        <w:rPr>
          <w:color w:val="0070C0"/>
        </w:rPr>
        <w:t>use</w:t>
      </w:r>
      <w:r w:rsidR="00B12580">
        <w:rPr>
          <w:color w:val="0070C0"/>
        </w:rPr>
        <w:t xml:space="preserve"> Canvas</w:t>
      </w:r>
      <w:r w:rsidR="00C02E4C">
        <w:rPr>
          <w:color w:val="0070C0"/>
        </w:rPr>
        <w:t xml:space="preserve"> email</w:t>
      </w:r>
      <w:r w:rsidR="005F04C2">
        <w:rPr>
          <w:color w:val="0070C0"/>
        </w:rPr>
        <w:t xml:space="preserve"> for course-related communications</w:t>
      </w:r>
      <w:r w:rsidR="00C37860">
        <w:rPr>
          <w:color w:val="0070C0"/>
        </w:rPr>
        <w:t>)</w:t>
      </w:r>
      <w:r w:rsidR="005F04C2">
        <w:rPr>
          <w:color w:val="0070C0"/>
        </w:rPr>
        <w:t>.</w:t>
      </w:r>
    </w:p>
    <w:p w14:paraId="2BA95A57" w14:textId="77777777" w:rsidR="00955689" w:rsidRPr="000059DB" w:rsidRDefault="00955689">
      <w:pPr>
        <w:rPr>
          <w:color w:val="0070C0"/>
        </w:rPr>
      </w:pPr>
    </w:p>
    <w:p w14:paraId="7A10310C" w14:textId="77777777" w:rsidR="004547C4" w:rsidRPr="000059DB" w:rsidRDefault="004547C4" w:rsidP="00955689">
      <w:pPr>
        <w:rPr>
          <w:b/>
          <w:i/>
        </w:rPr>
      </w:pPr>
      <w:r w:rsidRPr="000059DB">
        <w:rPr>
          <w:b/>
          <w:i/>
        </w:rPr>
        <w:t>Course Description</w:t>
      </w:r>
    </w:p>
    <w:p w14:paraId="7AB10670" w14:textId="1ED46CEA" w:rsidR="004547C4" w:rsidRPr="000059DB" w:rsidRDefault="00487A25" w:rsidP="00955689">
      <w:r w:rsidRPr="00487A25">
        <w:rPr>
          <w:color w:val="0070C0"/>
        </w:rPr>
        <w:t xml:space="preserve">(3 Credits) </w:t>
      </w:r>
      <w:r w:rsidR="00B12580" w:rsidRPr="00B12580">
        <w:rPr>
          <w:color w:val="0070C0"/>
        </w:rPr>
        <w:t>Study specification, design, acquisition, operation, performance assessment and economic justification of modern packaging lines.  Processes related to product and package production are studied.  Study of ethics related to production, consumption</w:t>
      </w:r>
      <w:r w:rsidR="005F04C2">
        <w:rPr>
          <w:color w:val="0070C0"/>
        </w:rPr>
        <w:t>, and professionalism,</w:t>
      </w:r>
      <w:r w:rsidR="00B12580" w:rsidRPr="00B12580">
        <w:rPr>
          <w:color w:val="0070C0"/>
        </w:rPr>
        <w:t xml:space="preserve"> including decision-making, labor relations, innovation, sustainability, profits, taxes, etc.</w:t>
      </w:r>
    </w:p>
    <w:p w14:paraId="7450E86D" w14:textId="024F1FB1" w:rsidR="007539EC" w:rsidRPr="000059DB" w:rsidRDefault="00B12580" w:rsidP="004547C4">
      <w:pPr>
        <w:rPr>
          <w:b/>
          <w:i/>
        </w:rPr>
      </w:pPr>
      <w:r>
        <w:rPr>
          <w:b/>
          <w:i/>
        </w:rPr>
        <w:br/>
      </w:r>
      <w:r w:rsidR="007539EC" w:rsidRPr="000059DB">
        <w:rPr>
          <w:b/>
          <w:i/>
        </w:rPr>
        <w:t>Course Pre-Requisites / Co-Requisites</w:t>
      </w:r>
    </w:p>
    <w:p w14:paraId="74B8A4CE" w14:textId="1AC09E9C" w:rsidR="007539EC" w:rsidRPr="000059DB" w:rsidRDefault="00163194" w:rsidP="004547C4">
      <w:pPr>
        <w:rPr>
          <w:b/>
          <w:i/>
        </w:rPr>
      </w:pPr>
      <w:r>
        <w:rPr>
          <w:b/>
          <w:i/>
        </w:rPr>
        <w:tab/>
      </w:r>
      <w:r w:rsidRPr="00163194">
        <w:rPr>
          <w:color w:val="0070C0"/>
        </w:rPr>
        <w:t>None</w:t>
      </w:r>
    </w:p>
    <w:p w14:paraId="6A976A92" w14:textId="77777777" w:rsidR="004547C4" w:rsidRPr="000059DB" w:rsidRDefault="004547C4" w:rsidP="004547C4">
      <w:pPr>
        <w:rPr>
          <w:b/>
          <w:i/>
        </w:rPr>
      </w:pPr>
      <w:r w:rsidRPr="000059DB">
        <w:rPr>
          <w:b/>
          <w:i/>
        </w:rPr>
        <w:t>Course Objectives</w:t>
      </w:r>
    </w:p>
    <w:p w14:paraId="07FCD591" w14:textId="5A01CB75" w:rsidR="00487A25" w:rsidRPr="00B12580" w:rsidRDefault="00487A25" w:rsidP="00163194">
      <w:pPr>
        <w:pStyle w:val="ListParagraph"/>
        <w:rPr>
          <w:color w:val="0070C0"/>
        </w:rPr>
      </w:pPr>
      <w:r w:rsidRPr="00B12580">
        <w:rPr>
          <w:color w:val="0070C0"/>
        </w:rPr>
        <w:t xml:space="preserve">After successfully completing this </w:t>
      </w:r>
      <w:r w:rsidR="00DC07B4" w:rsidRPr="00B12580">
        <w:rPr>
          <w:color w:val="0070C0"/>
        </w:rPr>
        <w:t>course,</w:t>
      </w:r>
      <w:r w:rsidRPr="00B12580">
        <w:rPr>
          <w:color w:val="0070C0"/>
        </w:rPr>
        <w:t xml:space="preserve"> the student will be able to:</w:t>
      </w:r>
    </w:p>
    <w:p w14:paraId="11DDBA3F" w14:textId="317EEA06" w:rsidR="00B12580" w:rsidRPr="00B12580" w:rsidRDefault="00B12580" w:rsidP="00B12580">
      <w:pPr>
        <w:pStyle w:val="ListParagraph"/>
        <w:numPr>
          <w:ilvl w:val="0"/>
          <w:numId w:val="26"/>
        </w:numPr>
        <w:rPr>
          <w:color w:val="0070C0"/>
        </w:rPr>
      </w:pPr>
      <w:r w:rsidRPr="00B12580">
        <w:rPr>
          <w:color w:val="0070C0"/>
        </w:rPr>
        <w:t>Identify and research packaging machines, machine manufacturing companies</w:t>
      </w:r>
      <w:r w:rsidR="005F04C2">
        <w:rPr>
          <w:color w:val="0070C0"/>
        </w:rPr>
        <w:t>,</w:t>
      </w:r>
      <w:r w:rsidRPr="00B12580">
        <w:rPr>
          <w:color w:val="0070C0"/>
        </w:rPr>
        <w:t xml:space="preserve"> and packaging industry associations.</w:t>
      </w:r>
    </w:p>
    <w:p w14:paraId="023EBE02" w14:textId="77777777" w:rsidR="00B12580" w:rsidRPr="00B12580" w:rsidRDefault="00B12580" w:rsidP="00B12580">
      <w:pPr>
        <w:pStyle w:val="ListParagraph"/>
        <w:numPr>
          <w:ilvl w:val="0"/>
          <w:numId w:val="26"/>
        </w:numPr>
        <w:rPr>
          <w:color w:val="0070C0"/>
        </w:rPr>
      </w:pPr>
      <w:r w:rsidRPr="00B12580">
        <w:rPr>
          <w:color w:val="0070C0"/>
        </w:rPr>
        <w:t>Identify unit operations that comprise common packaging lines.</w:t>
      </w:r>
    </w:p>
    <w:p w14:paraId="3C0C1244" w14:textId="1D439EC6" w:rsidR="00B12580" w:rsidRPr="00B12580" w:rsidRDefault="00B12580" w:rsidP="00B12580">
      <w:pPr>
        <w:pStyle w:val="ListParagraph"/>
        <w:numPr>
          <w:ilvl w:val="0"/>
          <w:numId w:val="26"/>
        </w:numPr>
        <w:rPr>
          <w:color w:val="0070C0"/>
        </w:rPr>
      </w:pPr>
      <w:r w:rsidRPr="00B12580">
        <w:rPr>
          <w:color w:val="0070C0"/>
        </w:rPr>
        <w:t xml:space="preserve">Specify operating requirements of individual packaging machines </w:t>
      </w:r>
      <w:r w:rsidR="00163194" w:rsidRPr="00B12580">
        <w:rPr>
          <w:color w:val="0070C0"/>
        </w:rPr>
        <w:t>to</w:t>
      </w:r>
      <w:r w:rsidRPr="00B12580">
        <w:rPr>
          <w:color w:val="0070C0"/>
        </w:rPr>
        <w:t xml:space="preserve"> allow groups of packaging machines to function as a coherent system.</w:t>
      </w:r>
    </w:p>
    <w:p w14:paraId="362595BF" w14:textId="5F7F4B76" w:rsidR="00B12580" w:rsidRPr="00B12580" w:rsidRDefault="00B12580" w:rsidP="00B12580">
      <w:pPr>
        <w:pStyle w:val="ListParagraph"/>
        <w:numPr>
          <w:ilvl w:val="0"/>
          <w:numId w:val="26"/>
        </w:numPr>
        <w:rPr>
          <w:color w:val="0070C0"/>
        </w:rPr>
      </w:pPr>
      <w:r w:rsidRPr="00B12580">
        <w:rPr>
          <w:color w:val="0070C0"/>
        </w:rPr>
        <w:t xml:space="preserve">Apply </w:t>
      </w:r>
      <w:r w:rsidR="005F04C2">
        <w:rPr>
          <w:color w:val="0070C0"/>
        </w:rPr>
        <w:t>time-value-of-money</w:t>
      </w:r>
      <w:r w:rsidRPr="00B12580">
        <w:rPr>
          <w:color w:val="0070C0"/>
        </w:rPr>
        <w:t xml:space="preserve"> concepts to assist in making capital investment decisions.</w:t>
      </w:r>
    </w:p>
    <w:p w14:paraId="5AEE7F1A" w14:textId="77777777" w:rsidR="00B12580" w:rsidRPr="00B12580" w:rsidRDefault="00B12580" w:rsidP="00B12580">
      <w:pPr>
        <w:pStyle w:val="ListParagraph"/>
        <w:numPr>
          <w:ilvl w:val="0"/>
          <w:numId w:val="26"/>
        </w:numPr>
        <w:rPr>
          <w:color w:val="0070C0"/>
        </w:rPr>
      </w:pPr>
      <w:r w:rsidRPr="00B12580">
        <w:rPr>
          <w:color w:val="0070C0"/>
        </w:rPr>
        <w:t>Understand relationships between products, packages, machines, and personnel.</w:t>
      </w:r>
    </w:p>
    <w:p w14:paraId="0A8EE390" w14:textId="222DBDC3" w:rsidR="00B12580" w:rsidRPr="00B12580" w:rsidRDefault="00B12580" w:rsidP="00B12580">
      <w:pPr>
        <w:pStyle w:val="ListParagraph"/>
        <w:numPr>
          <w:ilvl w:val="0"/>
          <w:numId w:val="26"/>
        </w:numPr>
        <w:rPr>
          <w:color w:val="0070C0"/>
        </w:rPr>
      </w:pPr>
      <w:r w:rsidRPr="00B12580">
        <w:rPr>
          <w:color w:val="0070C0"/>
        </w:rPr>
        <w:t xml:space="preserve">Critically analyze ethical issues related to </w:t>
      </w:r>
      <w:r w:rsidR="00163194">
        <w:rPr>
          <w:color w:val="0070C0"/>
        </w:rPr>
        <w:t xml:space="preserve">packaging and </w:t>
      </w:r>
      <w:r w:rsidRPr="00B12580">
        <w:rPr>
          <w:color w:val="0070C0"/>
        </w:rPr>
        <w:t xml:space="preserve">your employment, production, consumption, environment, </w:t>
      </w:r>
      <w:r w:rsidR="00163194" w:rsidRPr="00B12580">
        <w:rPr>
          <w:color w:val="0070C0"/>
        </w:rPr>
        <w:t>politics,</w:t>
      </w:r>
      <w:r w:rsidRPr="00B12580">
        <w:rPr>
          <w:color w:val="0070C0"/>
        </w:rPr>
        <w:t xml:space="preserve"> and society.</w:t>
      </w:r>
    </w:p>
    <w:p w14:paraId="26BCB9FF" w14:textId="77777777" w:rsidR="00B12580" w:rsidRPr="00B12580" w:rsidRDefault="00B12580" w:rsidP="00B12580">
      <w:pPr>
        <w:pStyle w:val="ListParagraph"/>
        <w:numPr>
          <w:ilvl w:val="0"/>
          <w:numId w:val="26"/>
        </w:numPr>
        <w:rPr>
          <w:color w:val="0070C0"/>
        </w:rPr>
      </w:pPr>
      <w:r w:rsidRPr="00B12580">
        <w:rPr>
          <w:color w:val="0070C0"/>
        </w:rPr>
        <w:t>Assess feedback process control loops and digital programmable logic controllers.</w:t>
      </w:r>
    </w:p>
    <w:p w14:paraId="31382555" w14:textId="3CA08B8F" w:rsidR="00B12580" w:rsidRPr="00B12580" w:rsidRDefault="00B12580" w:rsidP="00B12580">
      <w:pPr>
        <w:pStyle w:val="ListParagraph"/>
        <w:numPr>
          <w:ilvl w:val="0"/>
          <w:numId w:val="26"/>
        </w:numPr>
        <w:rPr>
          <w:color w:val="0070C0"/>
        </w:rPr>
      </w:pPr>
      <w:r w:rsidRPr="00B12580">
        <w:rPr>
          <w:color w:val="0070C0"/>
        </w:rPr>
        <w:t>Contribute to the productivity of packaging operations involved in various markets</w:t>
      </w:r>
      <w:r w:rsidR="005F04C2">
        <w:rPr>
          <w:color w:val="0070C0"/>
        </w:rPr>
        <w:t>, including bottling, folding cartons, rigid packaging, flexible packaging, product handling,</w:t>
      </w:r>
      <w:r w:rsidRPr="00B12580">
        <w:rPr>
          <w:color w:val="0070C0"/>
        </w:rPr>
        <w:t xml:space="preserve"> and quality control/assurance.</w:t>
      </w:r>
    </w:p>
    <w:p w14:paraId="301343D3" w14:textId="77777777" w:rsidR="001C18FE" w:rsidRPr="000059DB" w:rsidRDefault="001C18FE" w:rsidP="004547C4">
      <w:pPr>
        <w:rPr>
          <w:color w:val="0070C0"/>
        </w:rPr>
      </w:pPr>
    </w:p>
    <w:p w14:paraId="6E1DB7A9" w14:textId="77777777" w:rsidR="001C18FE" w:rsidRPr="000059DB" w:rsidRDefault="001C18FE" w:rsidP="004547C4">
      <w:pPr>
        <w:rPr>
          <w:b/>
          <w:i/>
        </w:rPr>
      </w:pPr>
      <w:r w:rsidRPr="000059DB">
        <w:rPr>
          <w:b/>
          <w:i/>
        </w:rPr>
        <w:t>Materials and Supply Fees</w:t>
      </w:r>
    </w:p>
    <w:p w14:paraId="051BCF93" w14:textId="483CD476" w:rsidR="001C18FE" w:rsidRPr="000059DB" w:rsidRDefault="00487A25" w:rsidP="004547C4">
      <w:pPr>
        <w:rPr>
          <w:color w:val="0070C0"/>
        </w:rPr>
      </w:pPr>
      <w:r>
        <w:rPr>
          <w:color w:val="0070C0"/>
        </w:rPr>
        <w:t>None</w:t>
      </w:r>
    </w:p>
    <w:p w14:paraId="16F6F393" w14:textId="77777777" w:rsidR="001C18FE" w:rsidRPr="000059DB" w:rsidRDefault="001C18FE" w:rsidP="004547C4">
      <w:pPr>
        <w:rPr>
          <w:color w:val="0070C0"/>
        </w:rPr>
      </w:pPr>
    </w:p>
    <w:p w14:paraId="1AEB1895" w14:textId="77777777" w:rsidR="00F433D1" w:rsidRPr="000059DB" w:rsidRDefault="00F433D1">
      <w:pPr>
        <w:rPr>
          <w:b/>
          <w:i/>
        </w:rPr>
      </w:pPr>
      <w:r w:rsidRPr="000059DB">
        <w:rPr>
          <w:b/>
          <w:i/>
        </w:rPr>
        <w:t>Professional Component (ABET):</w:t>
      </w:r>
    </w:p>
    <w:p w14:paraId="481ADF39" w14:textId="076CE9E3" w:rsidR="00F433D1" w:rsidRPr="000059DB" w:rsidRDefault="00487A25">
      <w:pPr>
        <w:rPr>
          <w:color w:val="0070C0"/>
        </w:rPr>
      </w:pPr>
      <w:r w:rsidRPr="00487A25">
        <w:rPr>
          <w:color w:val="0070C0"/>
        </w:rPr>
        <w:t>This course contributes 3 credit hours of approved technical elective credit.</w:t>
      </w:r>
      <w:r w:rsidR="00F433D1" w:rsidRPr="000059DB">
        <w:rPr>
          <w:color w:val="0070C0"/>
        </w:rPr>
        <w:t xml:space="preserve">  </w:t>
      </w:r>
    </w:p>
    <w:p w14:paraId="49F27868" w14:textId="77777777" w:rsidR="00F433D1" w:rsidRPr="000059DB" w:rsidRDefault="00F433D1">
      <w:pPr>
        <w:rPr>
          <w:color w:val="0070C0"/>
        </w:rPr>
      </w:pPr>
    </w:p>
    <w:p w14:paraId="44F14732" w14:textId="30112E2D" w:rsidR="00F433D1" w:rsidRPr="000059DB" w:rsidRDefault="00F433D1">
      <w:pPr>
        <w:rPr>
          <w:b/>
          <w:i/>
        </w:rPr>
      </w:pPr>
      <w:r w:rsidRPr="000059DB">
        <w:rPr>
          <w:b/>
          <w:i/>
        </w:rPr>
        <w:t>Relation to Program Outcomes (ABET):</w:t>
      </w:r>
    </w:p>
    <w:p w14:paraId="1E25438D" w14:textId="00C4A79A" w:rsidR="00D2542F" w:rsidRPr="000059DB" w:rsidRDefault="00D2542F">
      <w:pPr>
        <w:rPr>
          <w:color w:val="0070C0"/>
        </w:rPr>
      </w:pPr>
      <w:r w:rsidRPr="000059DB">
        <w:rPr>
          <w:color w:val="0070C0"/>
        </w:rPr>
        <w:t xml:space="preserve">The table below is an example.  </w:t>
      </w:r>
      <w:r w:rsidR="00467129" w:rsidRPr="000059DB">
        <w:rPr>
          <w:color w:val="0070C0"/>
        </w:rPr>
        <w:t>Please consult with your department’s ABET coordinator when filling this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433D1" w:rsidRPr="000059DB" w14:paraId="4266437F" w14:textId="77777777" w:rsidTr="00F433D1">
        <w:tc>
          <w:tcPr>
            <w:tcW w:w="5395" w:type="dxa"/>
            <w:shd w:val="clear" w:color="auto" w:fill="BDD6EE" w:themeFill="accent1" w:themeFillTint="66"/>
          </w:tcPr>
          <w:p w14:paraId="77451F1B" w14:textId="77777777" w:rsidR="00F433D1" w:rsidRPr="000059DB" w:rsidRDefault="00F433D1">
            <w:pPr>
              <w:rPr>
                <w:b/>
              </w:rPr>
            </w:pPr>
            <w:r w:rsidRPr="000059DB">
              <w:rPr>
                <w:b/>
              </w:rPr>
              <w:t>Outcome</w:t>
            </w:r>
          </w:p>
        </w:tc>
        <w:tc>
          <w:tcPr>
            <w:tcW w:w="5395" w:type="dxa"/>
            <w:shd w:val="clear" w:color="auto" w:fill="BDD6EE" w:themeFill="accent1" w:themeFillTint="66"/>
          </w:tcPr>
          <w:p w14:paraId="31C735C3" w14:textId="77777777" w:rsidR="00F433D1" w:rsidRPr="000059DB" w:rsidRDefault="00F433D1">
            <w:pPr>
              <w:rPr>
                <w:b/>
                <w:vertAlign w:val="superscript"/>
              </w:rPr>
            </w:pPr>
            <w:r w:rsidRPr="000059DB">
              <w:rPr>
                <w:b/>
              </w:rPr>
              <w:t>Coverage</w:t>
            </w:r>
            <w:r w:rsidRPr="000059DB">
              <w:rPr>
                <w:b/>
                <w:vertAlign w:val="superscript"/>
              </w:rPr>
              <w:t>*</w:t>
            </w:r>
          </w:p>
        </w:tc>
      </w:tr>
      <w:tr w:rsidR="00D2542F" w:rsidRPr="000059DB" w14:paraId="6B932233" w14:textId="77777777" w:rsidTr="00F433D1">
        <w:tc>
          <w:tcPr>
            <w:tcW w:w="5395" w:type="dxa"/>
          </w:tcPr>
          <w:p w14:paraId="683827D1" w14:textId="78A1DD8D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identify, formulate, and solve engineering problems by applying principles of engineering, science, and mathematics.</w:t>
            </w:r>
          </w:p>
        </w:tc>
        <w:tc>
          <w:tcPr>
            <w:tcW w:w="5395" w:type="dxa"/>
          </w:tcPr>
          <w:p w14:paraId="4D5C5E1B" w14:textId="454EBE01" w:rsidR="00F433D1" w:rsidRPr="000059DB" w:rsidRDefault="00487A25">
            <w:pPr>
              <w:rPr>
                <w:color w:val="0070C0"/>
              </w:rPr>
            </w:pPr>
            <w:r>
              <w:rPr>
                <w:color w:val="0070C0"/>
              </w:rPr>
              <w:t>High</w:t>
            </w:r>
          </w:p>
        </w:tc>
      </w:tr>
      <w:tr w:rsidR="00D2542F" w:rsidRPr="000059DB" w14:paraId="13B552C0" w14:textId="77777777" w:rsidTr="00F433D1">
        <w:tc>
          <w:tcPr>
            <w:tcW w:w="5395" w:type="dxa"/>
          </w:tcPr>
          <w:p w14:paraId="0693EA0E" w14:textId="1907A4DD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apply both analysis and synthesis in the engineering design process, resulting in designs that meet desired needs.</w:t>
            </w:r>
          </w:p>
        </w:tc>
        <w:tc>
          <w:tcPr>
            <w:tcW w:w="5395" w:type="dxa"/>
          </w:tcPr>
          <w:p w14:paraId="7386C15F" w14:textId="70B3550D" w:rsidR="00F433D1" w:rsidRPr="000059DB" w:rsidRDefault="00487A25">
            <w:pPr>
              <w:rPr>
                <w:color w:val="0070C0"/>
              </w:rPr>
            </w:pPr>
            <w:r>
              <w:rPr>
                <w:color w:val="0070C0"/>
              </w:rPr>
              <w:t>Medium</w:t>
            </w:r>
          </w:p>
        </w:tc>
      </w:tr>
      <w:tr w:rsidR="00D2542F" w:rsidRPr="000059DB" w14:paraId="1677A51A" w14:textId="77777777" w:rsidTr="00F433D1">
        <w:tc>
          <w:tcPr>
            <w:tcW w:w="5395" w:type="dxa"/>
          </w:tcPr>
          <w:p w14:paraId="2E343F55" w14:textId="7AE02FD9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develop and conduct appropriate experimentation, analyze and interpret data, and use engineering judgment to draw conclusions.</w:t>
            </w:r>
          </w:p>
        </w:tc>
        <w:tc>
          <w:tcPr>
            <w:tcW w:w="5395" w:type="dxa"/>
          </w:tcPr>
          <w:p w14:paraId="256E6078" w14:textId="77777777" w:rsidR="00F433D1" w:rsidRPr="000059DB" w:rsidRDefault="00F433D1">
            <w:pPr>
              <w:rPr>
                <w:color w:val="0070C0"/>
              </w:rPr>
            </w:pPr>
          </w:p>
        </w:tc>
      </w:tr>
      <w:tr w:rsidR="00D2542F" w:rsidRPr="000059DB" w14:paraId="3BC33291" w14:textId="77777777" w:rsidTr="00F433D1">
        <w:tc>
          <w:tcPr>
            <w:tcW w:w="5395" w:type="dxa"/>
          </w:tcPr>
          <w:p w14:paraId="07059131" w14:textId="3B1112B6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lastRenderedPageBreak/>
              <w:t>An ability to communicate effectively with a range of audiences</w:t>
            </w:r>
          </w:p>
        </w:tc>
        <w:tc>
          <w:tcPr>
            <w:tcW w:w="5395" w:type="dxa"/>
          </w:tcPr>
          <w:p w14:paraId="7B9FC7DC" w14:textId="2AD2B49B" w:rsidR="00F433D1" w:rsidRPr="000059DB" w:rsidRDefault="00F433D1">
            <w:pPr>
              <w:rPr>
                <w:color w:val="0070C0"/>
              </w:rPr>
            </w:pPr>
          </w:p>
        </w:tc>
      </w:tr>
      <w:tr w:rsidR="00D2542F" w:rsidRPr="000059DB" w14:paraId="647A2231" w14:textId="77777777" w:rsidTr="00F433D1">
        <w:tc>
          <w:tcPr>
            <w:tcW w:w="5395" w:type="dxa"/>
          </w:tcPr>
          <w:p w14:paraId="4A77B107" w14:textId="17B0E5DF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recognize ethical and professional responsibilities in engineering situations and make informed judgments, which must consider the impact of engineering solutions in global, economic, environmental, and societal contexts.</w:t>
            </w:r>
          </w:p>
        </w:tc>
        <w:tc>
          <w:tcPr>
            <w:tcW w:w="5395" w:type="dxa"/>
          </w:tcPr>
          <w:p w14:paraId="6CCF36E7" w14:textId="5ED23322" w:rsidR="00F433D1" w:rsidRPr="000059DB" w:rsidRDefault="00B12580">
            <w:pPr>
              <w:rPr>
                <w:color w:val="0070C0"/>
              </w:rPr>
            </w:pPr>
            <w:r>
              <w:rPr>
                <w:color w:val="0070C0"/>
              </w:rPr>
              <w:t>High</w:t>
            </w:r>
          </w:p>
        </w:tc>
      </w:tr>
      <w:tr w:rsidR="00D2542F" w:rsidRPr="000059DB" w14:paraId="4637A3F0" w14:textId="77777777" w:rsidTr="00F433D1">
        <w:tc>
          <w:tcPr>
            <w:tcW w:w="5395" w:type="dxa"/>
          </w:tcPr>
          <w:p w14:paraId="3C7EAFC1" w14:textId="331863F7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recognize the ongoing need for additional knowledge and locate, evaluate, integrate, and apply this knowledge appropriately.</w:t>
            </w:r>
          </w:p>
        </w:tc>
        <w:tc>
          <w:tcPr>
            <w:tcW w:w="5395" w:type="dxa"/>
          </w:tcPr>
          <w:p w14:paraId="632965EA" w14:textId="2B9DB17E" w:rsidR="00F433D1" w:rsidRPr="000059DB" w:rsidRDefault="00F433D1">
            <w:pPr>
              <w:rPr>
                <w:color w:val="0070C0"/>
              </w:rPr>
            </w:pPr>
          </w:p>
        </w:tc>
      </w:tr>
      <w:tr w:rsidR="00D2542F" w:rsidRPr="000059DB" w14:paraId="2B11A4BD" w14:textId="77777777" w:rsidTr="00F433D1">
        <w:tc>
          <w:tcPr>
            <w:tcW w:w="5395" w:type="dxa"/>
          </w:tcPr>
          <w:p w14:paraId="5F991789" w14:textId="1387DDB2" w:rsidR="00F433D1" w:rsidRPr="000059DB" w:rsidRDefault="00467129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0059DB">
              <w:rPr>
                <w:rFonts w:ascii="Arial" w:hAnsi="Arial" w:cs="Arial"/>
                <w:color w:val="333333"/>
                <w:sz w:val="16"/>
                <w:szCs w:val="16"/>
              </w:rPr>
              <w:t>An ability to function effectively on teams that establish goals, plan tasks, meet deadlines, and analyze risk and uncertainty</w:t>
            </w:r>
          </w:p>
        </w:tc>
        <w:tc>
          <w:tcPr>
            <w:tcW w:w="5395" w:type="dxa"/>
          </w:tcPr>
          <w:p w14:paraId="0F28CB73" w14:textId="439E1925" w:rsidR="00F433D1" w:rsidRPr="000059DB" w:rsidRDefault="00F433D1">
            <w:pPr>
              <w:rPr>
                <w:color w:val="0070C0"/>
              </w:rPr>
            </w:pPr>
          </w:p>
        </w:tc>
      </w:tr>
    </w:tbl>
    <w:p w14:paraId="29162B13" w14:textId="3876D8DD" w:rsidR="00F433D1" w:rsidRPr="000059DB" w:rsidRDefault="00F433D1" w:rsidP="00F433D1">
      <w:pPr>
        <w:ind w:left="360"/>
        <w:rPr>
          <w:color w:val="0070C0"/>
        </w:rPr>
      </w:pPr>
      <w:r w:rsidRPr="000059DB">
        <w:rPr>
          <w:color w:val="0070C0"/>
          <w:vertAlign w:val="superscript"/>
        </w:rPr>
        <w:t>*</w:t>
      </w:r>
      <w:r w:rsidRPr="000059DB">
        <w:rPr>
          <w:color w:val="0070C0"/>
        </w:rPr>
        <w:t xml:space="preserve">Coverage is given as high, medium, or low.  An empty box indicates that this outcome is not </w:t>
      </w:r>
      <w:r w:rsidR="00467129" w:rsidRPr="000059DB">
        <w:rPr>
          <w:color w:val="0070C0"/>
        </w:rPr>
        <w:t>covered or assessed in</w:t>
      </w:r>
      <w:r w:rsidRPr="000059DB">
        <w:rPr>
          <w:color w:val="0070C0"/>
        </w:rPr>
        <w:t xml:space="preserve"> the course.</w:t>
      </w:r>
    </w:p>
    <w:p w14:paraId="527F3C29" w14:textId="22066E35" w:rsidR="00F433D1" w:rsidRPr="000059DB" w:rsidRDefault="00F433D1">
      <w:pPr>
        <w:rPr>
          <w:b/>
          <w:i/>
        </w:rPr>
      </w:pPr>
    </w:p>
    <w:p w14:paraId="7633DCF0" w14:textId="77777777" w:rsidR="001C18FE" w:rsidRPr="000059DB" w:rsidRDefault="001C18FE" w:rsidP="001C18FE">
      <w:pPr>
        <w:rPr>
          <w:b/>
          <w:i/>
        </w:rPr>
      </w:pPr>
      <w:r w:rsidRPr="000059DB">
        <w:rPr>
          <w:b/>
          <w:i/>
        </w:rPr>
        <w:t xml:space="preserve">Required Textbooks and Software </w:t>
      </w:r>
    </w:p>
    <w:p w14:paraId="4A99D182" w14:textId="23A64315" w:rsidR="001C18FE" w:rsidRPr="000059DB" w:rsidRDefault="00487A25" w:rsidP="001C18FE">
      <w:r w:rsidRPr="00487A25">
        <w:rPr>
          <w:color w:val="0070C0"/>
        </w:rPr>
        <w:t>None</w:t>
      </w:r>
      <w:r w:rsidR="001C18FE" w:rsidRPr="00487A25">
        <w:rPr>
          <w:color w:val="0070C0"/>
        </w:rPr>
        <w:br/>
      </w:r>
    </w:p>
    <w:p w14:paraId="0A073A0D" w14:textId="77777777" w:rsidR="001C18FE" w:rsidRPr="000059DB" w:rsidRDefault="001C18FE" w:rsidP="001C18FE">
      <w:pPr>
        <w:rPr>
          <w:b/>
          <w:i/>
        </w:rPr>
      </w:pPr>
      <w:r w:rsidRPr="000059DB">
        <w:rPr>
          <w:b/>
          <w:i/>
        </w:rPr>
        <w:t>Recommended Materials</w:t>
      </w:r>
    </w:p>
    <w:p w14:paraId="7068A3C0" w14:textId="39940161" w:rsidR="001C18FE" w:rsidRPr="000059DB" w:rsidRDefault="00B12580" w:rsidP="004547C4">
      <w:pPr>
        <w:rPr>
          <w:color w:val="0070C0"/>
        </w:rPr>
      </w:pPr>
      <w:r w:rsidRPr="00B12580">
        <w:t>Davis, C.G.  Introduction to Packaging Machinery.  Packaging Machinery Manufacturers Institute, Arlington, VA.  1997 (draft).</w:t>
      </w:r>
      <w:r>
        <w:t xml:space="preserve">  Provided (Free) as pdf.</w:t>
      </w:r>
      <w:r>
        <w:br/>
      </w:r>
    </w:p>
    <w:p w14:paraId="4BDE912E" w14:textId="77777777" w:rsidR="001C18FE" w:rsidRPr="000059DB" w:rsidRDefault="001C18FE" w:rsidP="00955689">
      <w:pPr>
        <w:rPr>
          <w:b/>
          <w:i/>
        </w:rPr>
      </w:pPr>
      <w:r w:rsidRPr="000059DB">
        <w:rPr>
          <w:b/>
          <w:i/>
        </w:rPr>
        <w:t>Course Schedule</w:t>
      </w:r>
    </w:p>
    <w:p w14:paraId="34745C91" w14:textId="2F39D928" w:rsidR="001C18FE" w:rsidRPr="000059DB" w:rsidRDefault="00820834" w:rsidP="00955689">
      <w:r w:rsidRPr="000059DB">
        <w:t>Week 1:</w:t>
      </w:r>
      <w:r w:rsidRPr="000059DB">
        <w:tab/>
      </w:r>
      <w:r w:rsidR="00B12580">
        <w:t>Packaging lines – Line Balancing</w:t>
      </w:r>
    </w:p>
    <w:p w14:paraId="6F0FEBC2" w14:textId="7E252268" w:rsidR="00820834" w:rsidRDefault="00820834" w:rsidP="00820834">
      <w:pPr>
        <w:rPr>
          <w:color w:val="0070C0"/>
        </w:rPr>
      </w:pPr>
      <w:r w:rsidRPr="000059DB">
        <w:t>Week 2:</w:t>
      </w:r>
      <w:r w:rsidRPr="000059DB">
        <w:tab/>
      </w:r>
      <w:r w:rsidR="00B12580">
        <w:t>Packaging lines – Production benchmarking</w:t>
      </w:r>
    </w:p>
    <w:p w14:paraId="765CC05C" w14:textId="04279C73" w:rsidR="00772495" w:rsidRDefault="00772495" w:rsidP="00820834">
      <w:r w:rsidRPr="00772495">
        <w:t>Week 3</w:t>
      </w:r>
      <w:r>
        <w:t>:</w:t>
      </w:r>
      <w:r>
        <w:tab/>
      </w:r>
      <w:r w:rsidR="00B12580">
        <w:t>Machinery – Liquid filling</w:t>
      </w:r>
    </w:p>
    <w:p w14:paraId="32D467E8" w14:textId="03C55931" w:rsidR="00737CEA" w:rsidRDefault="00772495" w:rsidP="00820834">
      <w:r>
        <w:t>Week 4:</w:t>
      </w:r>
      <w:r>
        <w:tab/>
      </w:r>
      <w:r w:rsidR="00B12580">
        <w:t>Machinery – up-stream, down-stream</w:t>
      </w:r>
    </w:p>
    <w:p w14:paraId="7E5CCF24" w14:textId="39A969A2" w:rsidR="00856F94" w:rsidRDefault="00856F94" w:rsidP="00820834">
      <w:r>
        <w:t>(Exam 1)</w:t>
      </w:r>
      <w:r>
        <w:tab/>
        <w:t>Date TBD (Approx. Feb 5)</w:t>
      </w:r>
    </w:p>
    <w:p w14:paraId="1E085737" w14:textId="608235F5" w:rsidR="00737CEA" w:rsidRDefault="00737CEA" w:rsidP="00820834">
      <w:r>
        <w:t>Week 5:</w:t>
      </w:r>
      <w:r>
        <w:tab/>
      </w:r>
      <w:r w:rsidR="00B12580">
        <w:t>Professional Ethics</w:t>
      </w:r>
    </w:p>
    <w:p w14:paraId="0D2075E3" w14:textId="6D01F1E3" w:rsidR="00820834" w:rsidRDefault="00820834" w:rsidP="00820834">
      <w:r w:rsidRPr="000059DB">
        <w:t xml:space="preserve">Week </w:t>
      </w:r>
      <w:r w:rsidR="00737CEA">
        <w:t>6</w:t>
      </w:r>
      <w:r w:rsidRPr="000059DB">
        <w:t>:</w:t>
      </w:r>
      <w:r w:rsidRPr="000059DB">
        <w:tab/>
      </w:r>
      <w:r w:rsidR="00856F94">
        <w:t>Packaging machinery capital investment &amp; accounting</w:t>
      </w:r>
    </w:p>
    <w:p w14:paraId="50CE2BA1" w14:textId="15B94F2D" w:rsidR="00737CEA" w:rsidRDefault="00737CEA" w:rsidP="00820834">
      <w:r>
        <w:t>Week 7:</w:t>
      </w:r>
      <w:r>
        <w:tab/>
      </w:r>
      <w:r w:rsidR="00856F94">
        <w:t>Depreciation</w:t>
      </w:r>
    </w:p>
    <w:p w14:paraId="5369DDEF" w14:textId="539C14F6" w:rsidR="00737CEA" w:rsidRDefault="00737CEA" w:rsidP="00820834">
      <w:r>
        <w:t>Week 8:</w:t>
      </w:r>
      <w:r>
        <w:tab/>
      </w:r>
      <w:r w:rsidR="00856F94">
        <w:t>Time value of money</w:t>
      </w:r>
    </w:p>
    <w:p w14:paraId="590CA7D6" w14:textId="6928FF47" w:rsidR="00856F94" w:rsidRDefault="00856F94" w:rsidP="00820834">
      <w:r>
        <w:t>(Exam 2)</w:t>
      </w:r>
      <w:r>
        <w:tab/>
        <w:t>Date TBD (approx.. March 13)</w:t>
      </w:r>
    </w:p>
    <w:p w14:paraId="6775159B" w14:textId="50697A94" w:rsidR="00737CEA" w:rsidRDefault="00737CEA" w:rsidP="00820834">
      <w:r>
        <w:t>Week 9:</w:t>
      </w:r>
      <w:r>
        <w:tab/>
      </w:r>
      <w:r w:rsidR="00856F94">
        <w:t>Process control (feedback)</w:t>
      </w:r>
    </w:p>
    <w:p w14:paraId="1BCD5289" w14:textId="234C9765" w:rsidR="00737CEA" w:rsidRDefault="00737CEA" w:rsidP="00820834">
      <w:r>
        <w:t>Week 10:</w:t>
      </w:r>
      <w:r>
        <w:tab/>
      </w:r>
      <w:r w:rsidR="00856F94">
        <w:t>Process control (logic)</w:t>
      </w:r>
    </w:p>
    <w:p w14:paraId="2410395D" w14:textId="06744599" w:rsidR="00737CEA" w:rsidRDefault="00737CEA" w:rsidP="00820834">
      <w:r>
        <w:t>Week 11:</w:t>
      </w:r>
      <w:r>
        <w:tab/>
      </w:r>
      <w:r w:rsidR="00856F94">
        <w:t>Quality control</w:t>
      </w:r>
      <w:r w:rsidR="006A6E05">
        <w:t>/sampling plan</w:t>
      </w:r>
    </w:p>
    <w:p w14:paraId="1DF8A983" w14:textId="1162563B" w:rsidR="00737CEA" w:rsidRDefault="00737CEA" w:rsidP="00820834">
      <w:r>
        <w:t>Week 12:</w:t>
      </w:r>
      <w:r>
        <w:tab/>
      </w:r>
      <w:r w:rsidR="00856F94">
        <w:t>Project planning</w:t>
      </w:r>
    </w:p>
    <w:p w14:paraId="5377A094" w14:textId="219851B0" w:rsidR="00737CEA" w:rsidRDefault="00737CEA" w:rsidP="00820834">
      <w:r>
        <w:t>Week 13:</w:t>
      </w:r>
      <w:r>
        <w:tab/>
      </w:r>
      <w:r w:rsidR="00856F94">
        <w:t>Professional ethics</w:t>
      </w:r>
    </w:p>
    <w:p w14:paraId="0E9C5BC7" w14:textId="255693D4" w:rsidR="00CF2A83" w:rsidRDefault="00737CEA" w:rsidP="00820834">
      <w:r>
        <w:t>Week 14:</w:t>
      </w:r>
      <w:r>
        <w:tab/>
      </w:r>
      <w:r w:rsidR="006A6E05">
        <w:t>Plastics processing</w:t>
      </w:r>
    </w:p>
    <w:p w14:paraId="0571FBBE" w14:textId="0EBE9C40" w:rsidR="006A6E05" w:rsidRDefault="006A6E05" w:rsidP="00820834">
      <w:r>
        <w:t>(Exam 3)</w:t>
      </w:r>
      <w:r>
        <w:tab/>
        <w:t>Date TBD (Approx. April 2</w:t>
      </w:r>
      <w:r w:rsidR="008B0BAC">
        <w:t>1</w:t>
      </w:r>
      <w:r>
        <w:t>)</w:t>
      </w:r>
    </w:p>
    <w:p w14:paraId="669EBB0C" w14:textId="7B277EF2" w:rsidR="00737CEA" w:rsidRPr="000059DB" w:rsidRDefault="00CF2A83" w:rsidP="006A6E05">
      <w:pPr>
        <w:ind w:left="1440" w:hanging="1530"/>
        <w:rPr>
          <w:color w:val="0070C0"/>
        </w:rPr>
      </w:pPr>
      <w:r>
        <w:t>(Final Exam)</w:t>
      </w:r>
      <w:r w:rsidR="006A6E05">
        <w:tab/>
        <w:t>Final exam is comprehensive and optional (“if you like your grade before the final, you can keep your grade)</w:t>
      </w:r>
    </w:p>
    <w:p w14:paraId="31573725" w14:textId="77777777" w:rsidR="00820834" w:rsidRPr="000059DB" w:rsidRDefault="00820834"/>
    <w:p w14:paraId="79EB4A53" w14:textId="77777777" w:rsidR="00820834" w:rsidRPr="000059DB" w:rsidRDefault="00DD0E35" w:rsidP="00820834">
      <w:pPr>
        <w:rPr>
          <w:b/>
          <w:i/>
        </w:rPr>
      </w:pPr>
      <w:r w:rsidRPr="000059DB">
        <w:rPr>
          <w:b/>
          <w:i/>
        </w:rPr>
        <w:t xml:space="preserve">Attendance Policy, Class </w:t>
      </w:r>
      <w:r w:rsidR="00820834" w:rsidRPr="000059DB">
        <w:rPr>
          <w:b/>
          <w:i/>
        </w:rPr>
        <w:t>Expectations</w:t>
      </w:r>
      <w:r w:rsidRPr="000059DB">
        <w:rPr>
          <w:b/>
          <w:i/>
        </w:rPr>
        <w:t>, and Make-Up Policy</w:t>
      </w:r>
    </w:p>
    <w:p w14:paraId="5AB578E8" w14:textId="504F413A" w:rsidR="001B26B3" w:rsidRPr="000059DB" w:rsidRDefault="005B2C60" w:rsidP="001B26B3">
      <w:pPr>
        <w:jc w:val="both"/>
        <w:rPr>
          <w:color w:val="0070C0"/>
        </w:rPr>
      </w:pPr>
      <w:r>
        <w:rPr>
          <w:color w:val="0070C0"/>
        </w:rPr>
        <w:t>A</w:t>
      </w:r>
      <w:r w:rsidR="006E7FC7" w:rsidRPr="000059DB">
        <w:rPr>
          <w:color w:val="0070C0"/>
        </w:rPr>
        <w:t xml:space="preserve">ttendance is required </w:t>
      </w:r>
      <w:r>
        <w:rPr>
          <w:color w:val="0070C0"/>
        </w:rPr>
        <w:t xml:space="preserve">and </w:t>
      </w:r>
      <w:r w:rsidR="006E7FC7" w:rsidRPr="000059DB">
        <w:rPr>
          <w:color w:val="0070C0"/>
        </w:rPr>
        <w:t>monitored</w:t>
      </w:r>
      <w:r>
        <w:rPr>
          <w:color w:val="0070C0"/>
        </w:rPr>
        <w:t>.</w:t>
      </w:r>
      <w:r w:rsidR="006E7FC7" w:rsidRPr="000059DB">
        <w:rPr>
          <w:color w:val="0070C0"/>
        </w:rPr>
        <w:t xml:space="preserve">  </w:t>
      </w:r>
      <w:r>
        <w:rPr>
          <w:color w:val="0070C0"/>
        </w:rPr>
        <w:t xml:space="preserve">Each unexcused absence may be charged a grade point. </w:t>
      </w:r>
      <w:r w:rsidR="001B26B3" w:rsidRPr="000059DB">
        <w:rPr>
          <w:color w:val="0070C0"/>
        </w:rPr>
        <w:t xml:space="preserve">Excused absences </w:t>
      </w:r>
      <w:r w:rsidR="00AB22AF" w:rsidRPr="000059DB">
        <w:rPr>
          <w:color w:val="0070C0"/>
        </w:rPr>
        <w:t>must be</w:t>
      </w:r>
      <w:r w:rsidR="001B26B3" w:rsidRPr="000059DB">
        <w:rPr>
          <w:color w:val="0070C0"/>
        </w:rPr>
        <w:t xml:space="preserve"> consistent with university policies in the undergraduate catalog (</w:t>
      </w:r>
      <w:hyperlink r:id="rId8" w:history="1">
        <w:r w:rsidR="00D2542F" w:rsidRPr="000059DB">
          <w:rPr>
            <w:rStyle w:val="Hyperlink"/>
            <w:color w:val="FF0000"/>
          </w:rPr>
          <w:t>https://catalog.ufl.edu/ugrad/current/regulations/info/attendance.aspx</w:t>
        </w:r>
      </w:hyperlink>
      <w:r w:rsidR="00D2542F" w:rsidRPr="000059DB">
        <w:rPr>
          <w:color w:val="0070C0"/>
        </w:rPr>
        <w:t>)</w:t>
      </w:r>
      <w:r w:rsidR="001B26B3" w:rsidRPr="000059DB">
        <w:rPr>
          <w:color w:val="0070C0"/>
        </w:rPr>
        <w:t xml:space="preserve"> and </w:t>
      </w:r>
      <w:r>
        <w:rPr>
          <w:color w:val="0070C0"/>
        </w:rPr>
        <w:t xml:space="preserve">may </w:t>
      </w:r>
      <w:r w:rsidR="001B26B3" w:rsidRPr="000059DB">
        <w:rPr>
          <w:color w:val="0070C0"/>
        </w:rPr>
        <w:t>require appropriate documentation.</w:t>
      </w:r>
    </w:p>
    <w:p w14:paraId="5CD91B84" w14:textId="77777777" w:rsidR="006E7FC7" w:rsidRPr="000059DB" w:rsidRDefault="006E7FC7" w:rsidP="00820834">
      <w:pPr>
        <w:rPr>
          <w:color w:val="0070C0"/>
        </w:rPr>
      </w:pPr>
    </w:p>
    <w:p w14:paraId="4CBB0C65" w14:textId="77777777" w:rsidR="00DC214D" w:rsidRDefault="00DC214D">
      <w:pPr>
        <w:rPr>
          <w:b/>
          <w:i/>
        </w:rPr>
      </w:pPr>
      <w:r>
        <w:rPr>
          <w:b/>
          <w:i/>
        </w:rPr>
        <w:br w:type="page"/>
      </w:r>
    </w:p>
    <w:p w14:paraId="10017178" w14:textId="4B7E70D2" w:rsidR="006E7FC7" w:rsidRPr="000059DB" w:rsidRDefault="006E7FC7" w:rsidP="00820834">
      <w:pPr>
        <w:rPr>
          <w:b/>
          <w:i/>
        </w:rPr>
      </w:pPr>
      <w:r w:rsidRPr="000059DB">
        <w:rPr>
          <w:b/>
          <w:i/>
        </w:rPr>
        <w:lastRenderedPageBreak/>
        <w:t>Evaluation of Grades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530"/>
        <w:gridCol w:w="2970"/>
      </w:tblGrid>
      <w:tr w:rsidR="006E7FC7" w:rsidRPr="000059DB" w14:paraId="086AA3D4" w14:textId="77777777" w:rsidTr="006E7FC7">
        <w:tc>
          <w:tcPr>
            <w:tcW w:w="2425" w:type="dxa"/>
          </w:tcPr>
          <w:p w14:paraId="226ACC42" w14:textId="77777777" w:rsidR="006E7FC7" w:rsidRPr="000059DB" w:rsidRDefault="006E7FC7" w:rsidP="00820834">
            <w:pPr>
              <w:rPr>
                <w:b/>
              </w:rPr>
            </w:pPr>
            <w:r w:rsidRPr="000059DB">
              <w:rPr>
                <w:b/>
              </w:rPr>
              <w:t>Assignment</w:t>
            </w:r>
          </w:p>
        </w:tc>
        <w:tc>
          <w:tcPr>
            <w:tcW w:w="1530" w:type="dxa"/>
          </w:tcPr>
          <w:p w14:paraId="762AB446" w14:textId="77777777" w:rsidR="006E7FC7" w:rsidRPr="000059DB" w:rsidRDefault="006E7FC7" w:rsidP="006E7FC7">
            <w:pPr>
              <w:jc w:val="center"/>
              <w:rPr>
                <w:b/>
              </w:rPr>
            </w:pPr>
            <w:r w:rsidRPr="000059DB">
              <w:rPr>
                <w:b/>
              </w:rPr>
              <w:t>Total Points</w:t>
            </w:r>
          </w:p>
        </w:tc>
        <w:tc>
          <w:tcPr>
            <w:tcW w:w="2970" w:type="dxa"/>
          </w:tcPr>
          <w:p w14:paraId="5F52D963" w14:textId="77777777" w:rsidR="006E7FC7" w:rsidRPr="000059DB" w:rsidRDefault="006E7FC7" w:rsidP="006E7FC7">
            <w:pPr>
              <w:jc w:val="center"/>
              <w:rPr>
                <w:b/>
              </w:rPr>
            </w:pPr>
            <w:r w:rsidRPr="000059DB">
              <w:rPr>
                <w:b/>
              </w:rPr>
              <w:t>Percentage of Final Grade</w:t>
            </w:r>
          </w:p>
        </w:tc>
      </w:tr>
      <w:tr w:rsidR="006E7FC7" w:rsidRPr="000059DB" w14:paraId="6398C783" w14:textId="77777777" w:rsidTr="006E7FC7">
        <w:tc>
          <w:tcPr>
            <w:tcW w:w="2425" w:type="dxa"/>
          </w:tcPr>
          <w:p w14:paraId="7E1BAEF7" w14:textId="7CDD6801" w:rsidR="006E7FC7" w:rsidRPr="000059DB" w:rsidRDefault="006E7FC7" w:rsidP="00820834">
            <w:pPr>
              <w:rPr>
                <w:color w:val="0070C0"/>
              </w:rPr>
            </w:pPr>
            <w:r w:rsidRPr="000059DB">
              <w:rPr>
                <w:color w:val="0070C0"/>
              </w:rPr>
              <w:t>Homework (</w:t>
            </w:r>
            <w:r w:rsidR="005B2C60">
              <w:rPr>
                <w:color w:val="0070C0"/>
              </w:rPr>
              <w:t>~</w:t>
            </w:r>
            <w:r w:rsidRPr="000059DB">
              <w:rPr>
                <w:color w:val="0070C0"/>
              </w:rPr>
              <w:t>10)</w:t>
            </w:r>
          </w:p>
        </w:tc>
        <w:tc>
          <w:tcPr>
            <w:tcW w:w="1530" w:type="dxa"/>
          </w:tcPr>
          <w:p w14:paraId="0714275B" w14:textId="75B35C00" w:rsidR="006E7FC7" w:rsidRPr="000059DB" w:rsidRDefault="006E7FC7" w:rsidP="006E7FC7">
            <w:pPr>
              <w:jc w:val="center"/>
              <w:rPr>
                <w:color w:val="0070C0"/>
              </w:rPr>
            </w:pPr>
            <w:r w:rsidRPr="000059DB">
              <w:rPr>
                <w:color w:val="0070C0"/>
              </w:rPr>
              <w:t>1</w:t>
            </w:r>
          </w:p>
        </w:tc>
        <w:tc>
          <w:tcPr>
            <w:tcW w:w="2970" w:type="dxa"/>
          </w:tcPr>
          <w:p w14:paraId="2B3677A5" w14:textId="77777777" w:rsidR="006E7FC7" w:rsidRPr="000059DB" w:rsidRDefault="006E7FC7" w:rsidP="006E7FC7">
            <w:pPr>
              <w:jc w:val="center"/>
              <w:rPr>
                <w:color w:val="0070C0"/>
              </w:rPr>
            </w:pPr>
            <w:r w:rsidRPr="000059DB">
              <w:rPr>
                <w:color w:val="0070C0"/>
              </w:rPr>
              <w:t>15%</w:t>
            </w:r>
          </w:p>
        </w:tc>
      </w:tr>
      <w:tr w:rsidR="006E7FC7" w:rsidRPr="000059DB" w14:paraId="5FF27DD1" w14:textId="77777777" w:rsidTr="006E7FC7">
        <w:tc>
          <w:tcPr>
            <w:tcW w:w="2425" w:type="dxa"/>
          </w:tcPr>
          <w:p w14:paraId="2EDEEA3D" w14:textId="28B2DA41" w:rsidR="006E7FC7" w:rsidRPr="000059DB" w:rsidRDefault="006E7FC7" w:rsidP="00820834">
            <w:pPr>
              <w:rPr>
                <w:color w:val="0070C0"/>
              </w:rPr>
            </w:pPr>
            <w:r w:rsidRPr="000059DB">
              <w:rPr>
                <w:color w:val="0070C0"/>
              </w:rPr>
              <w:t>Exam</w:t>
            </w:r>
            <w:r w:rsidR="005B2C60">
              <w:rPr>
                <w:color w:val="0070C0"/>
              </w:rPr>
              <w:t>s (3 &amp; Final)</w:t>
            </w:r>
          </w:p>
        </w:tc>
        <w:tc>
          <w:tcPr>
            <w:tcW w:w="1530" w:type="dxa"/>
          </w:tcPr>
          <w:p w14:paraId="38CCEACC" w14:textId="77F89BC4" w:rsidR="006E7FC7" w:rsidRPr="000059DB" w:rsidRDefault="005B2C60" w:rsidP="006E7FC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500</w:t>
            </w:r>
          </w:p>
        </w:tc>
        <w:tc>
          <w:tcPr>
            <w:tcW w:w="2970" w:type="dxa"/>
          </w:tcPr>
          <w:p w14:paraId="28585646" w14:textId="2B6ABEBC" w:rsidR="006E7FC7" w:rsidRPr="000059DB" w:rsidRDefault="005B2C60" w:rsidP="006E7FC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85</w:t>
            </w:r>
            <w:r w:rsidR="006E7FC7" w:rsidRPr="000059DB">
              <w:rPr>
                <w:color w:val="0070C0"/>
              </w:rPr>
              <w:t>%</w:t>
            </w:r>
          </w:p>
        </w:tc>
      </w:tr>
    </w:tbl>
    <w:p w14:paraId="108A546C" w14:textId="77777777" w:rsidR="006E7FC7" w:rsidRPr="000059DB" w:rsidRDefault="006E7FC7" w:rsidP="00820834">
      <w:pPr>
        <w:rPr>
          <w:b/>
        </w:rPr>
      </w:pPr>
    </w:p>
    <w:p w14:paraId="25D5660A" w14:textId="4E988382" w:rsidR="006E7FC7" w:rsidRPr="000059DB" w:rsidRDefault="006E7FC7" w:rsidP="00820834">
      <w:pPr>
        <w:rPr>
          <w:b/>
          <w:i/>
        </w:rPr>
      </w:pPr>
      <w:r w:rsidRPr="000059DB">
        <w:rPr>
          <w:b/>
          <w:i/>
        </w:rPr>
        <w:t>Grading Policy</w:t>
      </w:r>
      <w:r w:rsidR="006A6E05">
        <w:rPr>
          <w:b/>
          <w:i/>
        </w:rPr>
        <w:t xml:space="preserve"> – Note that all exam and homework scores are rounded up to nearest whole number.</w:t>
      </w:r>
    </w:p>
    <w:p w14:paraId="7ED6B1A1" w14:textId="401C91AA" w:rsidR="00FB6F04" w:rsidRPr="000059DB" w:rsidRDefault="00FB6F04" w:rsidP="00FB6F04">
      <w:pPr>
        <w:rPr>
          <w:color w:val="0070C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990"/>
        <w:gridCol w:w="1170"/>
      </w:tblGrid>
      <w:tr w:rsidR="00DD0E35" w:rsidRPr="000059DB" w14:paraId="65F8D0F6" w14:textId="77777777" w:rsidTr="00DD0E35">
        <w:trPr>
          <w:trHeight w:val="98"/>
        </w:trPr>
        <w:tc>
          <w:tcPr>
            <w:tcW w:w="1350" w:type="dxa"/>
          </w:tcPr>
          <w:p w14:paraId="06B846F5" w14:textId="77777777" w:rsidR="00DD0E35" w:rsidRPr="000059DB" w:rsidRDefault="00DD0E35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0059DB">
              <w:rPr>
                <w:rFonts w:ascii="Cambria" w:hAnsi="Cambria"/>
                <w:b/>
                <w:bCs/>
                <w:sz w:val="22"/>
                <w:szCs w:val="22"/>
              </w:rPr>
              <w:t xml:space="preserve">Percent </w:t>
            </w:r>
          </w:p>
        </w:tc>
        <w:tc>
          <w:tcPr>
            <w:tcW w:w="990" w:type="dxa"/>
          </w:tcPr>
          <w:p w14:paraId="6686D6C1" w14:textId="77777777" w:rsidR="00DD0E35" w:rsidRPr="000059DB" w:rsidRDefault="00DD0E35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0059DB">
              <w:rPr>
                <w:rFonts w:ascii="Cambria" w:hAnsi="Cambria"/>
                <w:b/>
                <w:bCs/>
                <w:sz w:val="22"/>
                <w:szCs w:val="22"/>
              </w:rPr>
              <w:t xml:space="preserve">Grade </w:t>
            </w:r>
          </w:p>
        </w:tc>
        <w:tc>
          <w:tcPr>
            <w:tcW w:w="1170" w:type="dxa"/>
          </w:tcPr>
          <w:p w14:paraId="5DE99B54" w14:textId="77777777" w:rsidR="00DD0E35" w:rsidRPr="000059DB" w:rsidRDefault="00DD0E35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0059DB">
              <w:rPr>
                <w:rFonts w:ascii="Cambria" w:hAnsi="Cambria"/>
                <w:b/>
                <w:bCs/>
                <w:sz w:val="22"/>
                <w:szCs w:val="22"/>
              </w:rPr>
              <w:t xml:space="preserve">Grade Points </w:t>
            </w:r>
          </w:p>
        </w:tc>
      </w:tr>
      <w:tr w:rsidR="00DD0E35" w:rsidRPr="000059DB" w14:paraId="2BEBD8B5" w14:textId="77777777" w:rsidTr="00DD0E35">
        <w:trPr>
          <w:trHeight w:val="100"/>
        </w:trPr>
        <w:tc>
          <w:tcPr>
            <w:tcW w:w="1350" w:type="dxa"/>
          </w:tcPr>
          <w:p w14:paraId="15755957" w14:textId="3BB82DF9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9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4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- 100 </w:t>
            </w:r>
          </w:p>
        </w:tc>
        <w:tc>
          <w:tcPr>
            <w:tcW w:w="990" w:type="dxa"/>
          </w:tcPr>
          <w:p w14:paraId="51F12EA1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A </w:t>
            </w:r>
          </w:p>
        </w:tc>
        <w:tc>
          <w:tcPr>
            <w:tcW w:w="1170" w:type="dxa"/>
          </w:tcPr>
          <w:p w14:paraId="2C96B007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4.00 </w:t>
            </w:r>
          </w:p>
        </w:tc>
      </w:tr>
      <w:tr w:rsidR="00DD0E35" w:rsidRPr="000059DB" w14:paraId="59D9D725" w14:textId="77777777" w:rsidTr="00DD0E35">
        <w:trPr>
          <w:trHeight w:val="100"/>
        </w:trPr>
        <w:tc>
          <w:tcPr>
            <w:tcW w:w="1350" w:type="dxa"/>
          </w:tcPr>
          <w:p w14:paraId="11E55B44" w14:textId="0A53EA99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90 </w:t>
            </w:r>
            <w:r w:rsidR="009C7115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9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26EB0C6E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A- </w:t>
            </w:r>
          </w:p>
        </w:tc>
        <w:tc>
          <w:tcPr>
            <w:tcW w:w="1170" w:type="dxa"/>
          </w:tcPr>
          <w:p w14:paraId="2248B1CD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3.67 </w:t>
            </w:r>
          </w:p>
        </w:tc>
      </w:tr>
      <w:tr w:rsidR="00DD0E35" w:rsidRPr="000059DB" w14:paraId="63911BDD" w14:textId="77777777" w:rsidTr="00DD0E35">
        <w:trPr>
          <w:trHeight w:val="100"/>
        </w:trPr>
        <w:tc>
          <w:tcPr>
            <w:tcW w:w="1350" w:type="dxa"/>
          </w:tcPr>
          <w:p w14:paraId="151F7FD5" w14:textId="6651CAB5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8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7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89</w:t>
            </w:r>
          </w:p>
        </w:tc>
        <w:tc>
          <w:tcPr>
            <w:tcW w:w="990" w:type="dxa"/>
          </w:tcPr>
          <w:p w14:paraId="7477DC9A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B+ </w:t>
            </w:r>
          </w:p>
        </w:tc>
        <w:tc>
          <w:tcPr>
            <w:tcW w:w="1170" w:type="dxa"/>
          </w:tcPr>
          <w:p w14:paraId="3556F210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3.33 </w:t>
            </w:r>
          </w:p>
        </w:tc>
      </w:tr>
      <w:tr w:rsidR="00DD0E35" w:rsidRPr="000059DB" w14:paraId="3E5EB525" w14:textId="77777777" w:rsidTr="00DD0E35">
        <w:trPr>
          <w:trHeight w:val="100"/>
        </w:trPr>
        <w:tc>
          <w:tcPr>
            <w:tcW w:w="1350" w:type="dxa"/>
          </w:tcPr>
          <w:p w14:paraId="50E6D523" w14:textId="0925B3C4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8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4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86</w:t>
            </w:r>
          </w:p>
        </w:tc>
        <w:tc>
          <w:tcPr>
            <w:tcW w:w="990" w:type="dxa"/>
          </w:tcPr>
          <w:p w14:paraId="428B701D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B </w:t>
            </w:r>
          </w:p>
        </w:tc>
        <w:tc>
          <w:tcPr>
            <w:tcW w:w="1170" w:type="dxa"/>
          </w:tcPr>
          <w:p w14:paraId="7A58DE8D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3.00 </w:t>
            </w:r>
          </w:p>
        </w:tc>
      </w:tr>
      <w:tr w:rsidR="00DD0E35" w:rsidRPr="000059DB" w14:paraId="3C1103DB" w14:textId="77777777" w:rsidTr="00DD0E35">
        <w:trPr>
          <w:trHeight w:val="100"/>
        </w:trPr>
        <w:tc>
          <w:tcPr>
            <w:tcW w:w="1350" w:type="dxa"/>
          </w:tcPr>
          <w:p w14:paraId="525811E6" w14:textId="4A0CAC2D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80 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8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17B38D02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B- </w:t>
            </w:r>
          </w:p>
        </w:tc>
        <w:tc>
          <w:tcPr>
            <w:tcW w:w="1170" w:type="dxa"/>
          </w:tcPr>
          <w:p w14:paraId="5E354125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2.67 </w:t>
            </w:r>
          </w:p>
        </w:tc>
      </w:tr>
      <w:tr w:rsidR="00DD0E35" w:rsidRPr="000059DB" w14:paraId="3A598DF8" w14:textId="77777777" w:rsidTr="00DD0E35">
        <w:trPr>
          <w:trHeight w:val="100"/>
        </w:trPr>
        <w:tc>
          <w:tcPr>
            <w:tcW w:w="1350" w:type="dxa"/>
          </w:tcPr>
          <w:p w14:paraId="73CDB31C" w14:textId="689AEB5F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7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7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- 79 </w:t>
            </w:r>
          </w:p>
        </w:tc>
        <w:tc>
          <w:tcPr>
            <w:tcW w:w="990" w:type="dxa"/>
          </w:tcPr>
          <w:p w14:paraId="355D2F1C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C+ </w:t>
            </w:r>
          </w:p>
        </w:tc>
        <w:tc>
          <w:tcPr>
            <w:tcW w:w="1170" w:type="dxa"/>
          </w:tcPr>
          <w:p w14:paraId="52E51B6A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2.33 </w:t>
            </w:r>
          </w:p>
        </w:tc>
      </w:tr>
      <w:tr w:rsidR="00DD0E35" w:rsidRPr="000059DB" w14:paraId="221D5346" w14:textId="77777777" w:rsidTr="00DD0E35">
        <w:trPr>
          <w:trHeight w:val="100"/>
        </w:trPr>
        <w:tc>
          <w:tcPr>
            <w:tcW w:w="1350" w:type="dxa"/>
          </w:tcPr>
          <w:p w14:paraId="18A8427B" w14:textId="2A66E17E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7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4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- 76</w:t>
            </w:r>
          </w:p>
        </w:tc>
        <w:tc>
          <w:tcPr>
            <w:tcW w:w="990" w:type="dxa"/>
          </w:tcPr>
          <w:p w14:paraId="0A0B24EE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C </w:t>
            </w:r>
          </w:p>
        </w:tc>
        <w:tc>
          <w:tcPr>
            <w:tcW w:w="1170" w:type="dxa"/>
          </w:tcPr>
          <w:p w14:paraId="6894736F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2.00 </w:t>
            </w:r>
          </w:p>
        </w:tc>
      </w:tr>
      <w:tr w:rsidR="00DD0E35" w:rsidRPr="000059DB" w14:paraId="3B92EA52" w14:textId="77777777" w:rsidTr="00DD0E35">
        <w:trPr>
          <w:trHeight w:val="100"/>
        </w:trPr>
        <w:tc>
          <w:tcPr>
            <w:tcW w:w="1350" w:type="dxa"/>
          </w:tcPr>
          <w:p w14:paraId="5A107820" w14:textId="48C1372C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70 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7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44DD3958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C- </w:t>
            </w:r>
          </w:p>
        </w:tc>
        <w:tc>
          <w:tcPr>
            <w:tcW w:w="1170" w:type="dxa"/>
          </w:tcPr>
          <w:p w14:paraId="75EDB703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1.67 </w:t>
            </w:r>
          </w:p>
        </w:tc>
      </w:tr>
      <w:tr w:rsidR="00DD0E35" w:rsidRPr="000059DB" w14:paraId="7F5510C7" w14:textId="77777777" w:rsidTr="00DD0E35">
        <w:trPr>
          <w:trHeight w:val="100"/>
        </w:trPr>
        <w:tc>
          <w:tcPr>
            <w:tcW w:w="1350" w:type="dxa"/>
          </w:tcPr>
          <w:p w14:paraId="0E342BED" w14:textId="26BB0202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6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7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- 69</w:t>
            </w:r>
          </w:p>
        </w:tc>
        <w:tc>
          <w:tcPr>
            <w:tcW w:w="990" w:type="dxa"/>
          </w:tcPr>
          <w:p w14:paraId="0285D84D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D+ </w:t>
            </w:r>
          </w:p>
        </w:tc>
        <w:tc>
          <w:tcPr>
            <w:tcW w:w="1170" w:type="dxa"/>
          </w:tcPr>
          <w:p w14:paraId="63C7B419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1.33 </w:t>
            </w:r>
          </w:p>
        </w:tc>
      </w:tr>
      <w:tr w:rsidR="00DD0E35" w:rsidRPr="000059DB" w14:paraId="278C920F" w14:textId="77777777" w:rsidTr="00DD0E35">
        <w:trPr>
          <w:trHeight w:val="100"/>
        </w:trPr>
        <w:tc>
          <w:tcPr>
            <w:tcW w:w="1350" w:type="dxa"/>
          </w:tcPr>
          <w:p w14:paraId="7D719022" w14:textId="24629488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6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4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- 66</w:t>
            </w:r>
          </w:p>
        </w:tc>
        <w:tc>
          <w:tcPr>
            <w:tcW w:w="990" w:type="dxa"/>
          </w:tcPr>
          <w:p w14:paraId="08B373A6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D </w:t>
            </w:r>
          </w:p>
        </w:tc>
        <w:tc>
          <w:tcPr>
            <w:tcW w:w="1170" w:type="dxa"/>
          </w:tcPr>
          <w:p w14:paraId="67684E31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1.00 </w:t>
            </w:r>
          </w:p>
        </w:tc>
      </w:tr>
      <w:tr w:rsidR="00DD0E35" w:rsidRPr="000059DB" w14:paraId="3476F7F4" w14:textId="77777777" w:rsidTr="00DD0E35">
        <w:trPr>
          <w:trHeight w:val="100"/>
        </w:trPr>
        <w:tc>
          <w:tcPr>
            <w:tcW w:w="1350" w:type="dxa"/>
          </w:tcPr>
          <w:p w14:paraId="56CBFE46" w14:textId="251CD908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60 </w:t>
            </w:r>
            <w:r w:rsidR="003719EB">
              <w:rPr>
                <w:rFonts w:ascii="Cambria" w:hAnsi="Cambria"/>
                <w:color w:val="0070C0"/>
                <w:sz w:val="22"/>
                <w:szCs w:val="22"/>
              </w:rPr>
              <w:t>–</w:t>
            </w: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 6</w:t>
            </w:r>
            <w:r w:rsidR="0048094A">
              <w:rPr>
                <w:rFonts w:ascii="Cambria" w:hAnsi="Cambria"/>
                <w:color w:val="0070C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6AE69F70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D- </w:t>
            </w:r>
          </w:p>
        </w:tc>
        <w:tc>
          <w:tcPr>
            <w:tcW w:w="1170" w:type="dxa"/>
          </w:tcPr>
          <w:p w14:paraId="2C7F8DFD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0.67 </w:t>
            </w:r>
          </w:p>
        </w:tc>
      </w:tr>
      <w:tr w:rsidR="00DD0E35" w:rsidRPr="000059DB" w14:paraId="24F40FD6" w14:textId="77777777" w:rsidTr="00DD0E35">
        <w:trPr>
          <w:trHeight w:val="100"/>
        </w:trPr>
        <w:tc>
          <w:tcPr>
            <w:tcW w:w="1350" w:type="dxa"/>
          </w:tcPr>
          <w:p w14:paraId="53132BB3" w14:textId="17F8D553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>0 - 59</w:t>
            </w:r>
          </w:p>
        </w:tc>
        <w:tc>
          <w:tcPr>
            <w:tcW w:w="990" w:type="dxa"/>
          </w:tcPr>
          <w:p w14:paraId="218046A0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E </w:t>
            </w:r>
          </w:p>
        </w:tc>
        <w:tc>
          <w:tcPr>
            <w:tcW w:w="1170" w:type="dxa"/>
          </w:tcPr>
          <w:p w14:paraId="51221E5F" w14:textId="77777777" w:rsidR="00DD0E35" w:rsidRPr="000059DB" w:rsidRDefault="00DD0E35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0.00 </w:t>
            </w:r>
          </w:p>
        </w:tc>
      </w:tr>
    </w:tbl>
    <w:p w14:paraId="421038BE" w14:textId="77777777" w:rsidR="00820834" w:rsidRDefault="00820834" w:rsidP="00820834"/>
    <w:p w14:paraId="5D99BE81" w14:textId="77777777" w:rsidR="00EF03C5" w:rsidRDefault="00EF03C5" w:rsidP="00820834"/>
    <w:p w14:paraId="0C44443D" w14:textId="77777777" w:rsidR="00EF03C5" w:rsidRDefault="00EF03C5" w:rsidP="00EF03C5">
      <w:pPr>
        <w:autoSpaceDE w:val="0"/>
        <w:autoSpaceDN w:val="0"/>
        <w:adjustRightInd w:val="0"/>
        <w:rPr>
          <w:rFonts w:cs="Calibri"/>
          <w:b/>
          <w:i/>
          <w:szCs w:val="22"/>
        </w:rPr>
      </w:pPr>
      <w:r w:rsidRPr="000F0A51">
        <w:rPr>
          <w:rFonts w:cs="Calibri"/>
          <w:b/>
          <w:i/>
          <w:szCs w:val="22"/>
        </w:rPr>
        <w:t>Academic Policies &amp; Resources</w:t>
      </w:r>
    </w:p>
    <w:p w14:paraId="31FA86D7" w14:textId="77777777" w:rsidR="00EF03C5" w:rsidRDefault="00EF03C5" w:rsidP="00EF03C5">
      <w:pPr>
        <w:autoSpaceDE w:val="0"/>
        <w:autoSpaceDN w:val="0"/>
        <w:adjustRightInd w:val="0"/>
        <w:rPr>
          <w:color w:val="000000"/>
          <w:szCs w:val="22"/>
        </w:rPr>
      </w:pPr>
      <w:r w:rsidRPr="000F0A51">
        <w:rPr>
          <w:color w:val="000000"/>
          <w:szCs w:val="22"/>
        </w:rPr>
        <w:t>To support consistent and accessible communication of university-wide student resources, instructors must include this link to academic policies and campus resources:</w:t>
      </w:r>
      <w:r>
        <w:rPr>
          <w:color w:val="000000"/>
          <w:szCs w:val="22"/>
        </w:rPr>
        <w:t xml:space="preserve"> </w:t>
      </w:r>
      <w:hyperlink r:id="rId9" w:history="1">
        <w:r w:rsidRPr="00054783">
          <w:rPr>
            <w:rStyle w:val="Hyperlink"/>
            <w:szCs w:val="22"/>
          </w:rPr>
          <w:t>https://go.ufl.edu/syllabuspolicies</w:t>
        </w:r>
      </w:hyperlink>
      <w:r w:rsidRPr="000F0A51">
        <w:rPr>
          <w:color w:val="000000"/>
          <w:szCs w:val="22"/>
        </w:rPr>
        <w:t xml:space="preserve">. Instructor-specific guidelines for courses must accommodate these policies. </w:t>
      </w:r>
    </w:p>
    <w:p w14:paraId="7313C629" w14:textId="77777777" w:rsidR="00EF03C5" w:rsidRPr="000059DB" w:rsidRDefault="00EF03C5" w:rsidP="00EF03C5">
      <w:pPr>
        <w:jc w:val="both"/>
        <w:rPr>
          <w:color w:val="000000"/>
          <w:szCs w:val="22"/>
        </w:rPr>
      </w:pPr>
    </w:p>
    <w:p w14:paraId="58A60DDA" w14:textId="77777777" w:rsidR="00EF03C5" w:rsidRPr="000059DB" w:rsidRDefault="00EF03C5" w:rsidP="00EF03C5">
      <w:pPr>
        <w:jc w:val="both"/>
        <w:rPr>
          <w:b/>
          <w:i/>
          <w:color w:val="000000"/>
          <w:szCs w:val="22"/>
        </w:rPr>
      </w:pPr>
      <w:r w:rsidRPr="000059DB">
        <w:rPr>
          <w:b/>
          <w:i/>
          <w:color w:val="000000"/>
          <w:szCs w:val="22"/>
        </w:rPr>
        <w:t xml:space="preserve">Commitment to a </w:t>
      </w:r>
      <w:r>
        <w:rPr>
          <w:b/>
          <w:i/>
          <w:color w:val="000000"/>
          <w:szCs w:val="22"/>
        </w:rPr>
        <w:t xml:space="preserve">Positive </w:t>
      </w:r>
      <w:r w:rsidRPr="000059DB">
        <w:rPr>
          <w:b/>
          <w:i/>
          <w:color w:val="000000"/>
          <w:szCs w:val="22"/>
        </w:rPr>
        <w:t>Learning Environment</w:t>
      </w:r>
    </w:p>
    <w:p w14:paraId="756E40E1" w14:textId="77777777" w:rsidR="00EF03C5" w:rsidRPr="000059DB" w:rsidRDefault="00EF03C5" w:rsidP="00EF03C5">
      <w:pPr>
        <w:jc w:val="both"/>
        <w:rPr>
          <w:color w:val="000000"/>
          <w:szCs w:val="22"/>
        </w:rPr>
      </w:pPr>
      <w:r w:rsidRPr="008B3F3A">
        <w:rPr>
          <w:color w:val="000000"/>
          <w:szCs w:val="22"/>
        </w:rPr>
        <w:t xml:space="preserve">The Herbert Wertheim College of Engineering values varied perspectives and lived experiences within our community and is committed to supporting the University’s core values.  </w:t>
      </w:r>
    </w:p>
    <w:p w14:paraId="21BBEC07" w14:textId="77777777" w:rsidR="00EF03C5" w:rsidRPr="000059DB" w:rsidRDefault="00EF03C5" w:rsidP="00EF03C5">
      <w:pPr>
        <w:jc w:val="both"/>
        <w:rPr>
          <w:color w:val="000000"/>
          <w:szCs w:val="22"/>
        </w:rPr>
      </w:pPr>
    </w:p>
    <w:p w14:paraId="415A9EC9" w14:textId="77777777" w:rsidR="00EF03C5" w:rsidRPr="000059DB" w:rsidRDefault="00EF03C5" w:rsidP="00EF03C5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>If you feel like your performance in class is being impacted, please contact your instructor or any of the following:</w:t>
      </w:r>
    </w:p>
    <w:p w14:paraId="4C8A617B" w14:textId="77777777" w:rsidR="00EF03C5" w:rsidRPr="000059DB" w:rsidRDefault="00EF03C5" w:rsidP="00EF03C5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 xml:space="preserve">• Your academic advisor or </w:t>
      </w:r>
      <w:r>
        <w:rPr>
          <w:color w:val="000000"/>
          <w:szCs w:val="22"/>
        </w:rPr>
        <w:t>Undergraduate</w:t>
      </w:r>
      <w:r w:rsidRPr="000059DB">
        <w:rPr>
          <w:color w:val="000000"/>
          <w:szCs w:val="22"/>
        </w:rPr>
        <w:t xml:space="preserve"> Coordinator</w:t>
      </w:r>
    </w:p>
    <w:p w14:paraId="73CA8B11" w14:textId="77777777" w:rsidR="00EF03C5" w:rsidRPr="000059DB" w:rsidRDefault="00EF03C5" w:rsidP="00EF03C5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 xml:space="preserve">• </w:t>
      </w:r>
      <w:r w:rsidRPr="002C555C">
        <w:rPr>
          <w:color w:val="000000"/>
          <w:szCs w:val="22"/>
        </w:rPr>
        <w:t xml:space="preserve">HWCOE Human Resources, 352-392-0904, </w:t>
      </w:r>
      <w:hyperlink r:id="rId10" w:history="1">
        <w:r w:rsidRPr="00EB5E5F">
          <w:rPr>
            <w:rStyle w:val="Hyperlink"/>
            <w:szCs w:val="22"/>
          </w:rPr>
          <w:t>student-support-hr@eng.ufl.edu</w:t>
        </w:r>
      </w:hyperlink>
      <w:r>
        <w:rPr>
          <w:color w:val="000000"/>
          <w:szCs w:val="22"/>
        </w:rPr>
        <w:t xml:space="preserve"> </w:t>
      </w:r>
    </w:p>
    <w:p w14:paraId="3C45EDC8" w14:textId="77777777" w:rsidR="00EF03C5" w:rsidRPr="000059DB" w:rsidRDefault="00EF03C5" w:rsidP="00EF03C5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 xml:space="preserve">• </w:t>
      </w:r>
      <w:r>
        <w:rPr>
          <w:color w:val="000000"/>
          <w:szCs w:val="22"/>
        </w:rPr>
        <w:t>Pam Dickrell</w:t>
      </w:r>
      <w:r w:rsidRPr="000059DB">
        <w:rPr>
          <w:color w:val="000000"/>
          <w:szCs w:val="22"/>
        </w:rPr>
        <w:t xml:space="preserve">, Associate Dean of Student Affairs, 352-392-2177, </w:t>
      </w:r>
      <w:hyperlink r:id="rId11" w:history="1">
        <w:r w:rsidRPr="00A938A9">
          <w:rPr>
            <w:rStyle w:val="Hyperlink"/>
            <w:szCs w:val="22"/>
          </w:rPr>
          <w:t>pld@ufl.edu</w:t>
        </w:r>
      </w:hyperlink>
    </w:p>
    <w:p w14:paraId="61BFECFE" w14:textId="77777777" w:rsidR="00EF03C5" w:rsidRPr="00C95EC1" w:rsidRDefault="00EF03C5" w:rsidP="00EF03C5">
      <w:pPr>
        <w:pStyle w:val="PlainText"/>
        <w:jc w:val="both"/>
        <w:rPr>
          <w:szCs w:val="22"/>
        </w:rPr>
      </w:pPr>
    </w:p>
    <w:p w14:paraId="7DDC6CBB" w14:textId="77777777" w:rsidR="00EF03C5" w:rsidRPr="000059DB" w:rsidRDefault="00EF03C5" w:rsidP="00820834"/>
    <w:sectPr w:rsidR="00EF03C5" w:rsidRPr="000059DB" w:rsidSect="004547C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DDAB" w14:textId="77777777" w:rsidR="009A31A8" w:rsidRDefault="009A31A8" w:rsidP="00BE1628">
      <w:r>
        <w:separator/>
      </w:r>
    </w:p>
  </w:endnote>
  <w:endnote w:type="continuationSeparator" w:id="0">
    <w:p w14:paraId="253102B4" w14:textId="77777777" w:rsidR="009A31A8" w:rsidRDefault="009A31A8" w:rsidP="00B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BC13" w14:textId="4A25B1EC" w:rsidR="00BE1628" w:rsidRPr="00BA6E7F" w:rsidRDefault="002A3A5F">
    <w:pPr>
      <w:pStyle w:val="Footer"/>
      <w:rPr>
        <w:b/>
        <w:i/>
        <w:noProof/>
        <w:color w:val="0070C0"/>
        <w:sz w:val="20"/>
      </w:rPr>
    </w:pPr>
    <w:r>
      <w:rPr>
        <w:b/>
        <w:i/>
        <w:color w:val="0070C0"/>
        <w:sz w:val="20"/>
      </w:rPr>
      <w:t>PKG4011 Packaging Production &amp; Processing</w:t>
    </w:r>
    <w:r w:rsidR="00BA6E7F" w:rsidRPr="00BA6E7F">
      <w:rPr>
        <w:b/>
        <w:i/>
        <w:color w:val="0070C0"/>
        <w:sz w:val="20"/>
      </w:rPr>
      <w:tab/>
    </w:r>
    <w:r w:rsidR="00BA6E7F" w:rsidRPr="00BA6E7F">
      <w:rPr>
        <w:b/>
        <w:i/>
        <w:color w:val="0070C0"/>
        <w:sz w:val="20"/>
      </w:rPr>
      <w:tab/>
      <w:t xml:space="preserve">Page </w:t>
    </w:r>
    <w:r w:rsidR="00BA6E7F" w:rsidRPr="00BA6E7F">
      <w:rPr>
        <w:b/>
        <w:i/>
        <w:color w:val="0070C0"/>
        <w:sz w:val="20"/>
      </w:rPr>
      <w:fldChar w:fldCharType="begin"/>
    </w:r>
    <w:r w:rsidR="00BA6E7F" w:rsidRPr="00BA6E7F">
      <w:rPr>
        <w:b/>
        <w:i/>
        <w:color w:val="0070C0"/>
        <w:sz w:val="20"/>
      </w:rPr>
      <w:instrText xml:space="preserve"> PAGE   \* MERGEFORMAT </w:instrText>
    </w:r>
    <w:r w:rsidR="00BA6E7F" w:rsidRPr="00BA6E7F">
      <w:rPr>
        <w:b/>
        <w:i/>
        <w:color w:val="0070C0"/>
        <w:sz w:val="20"/>
      </w:rPr>
      <w:fldChar w:fldCharType="separate"/>
    </w:r>
    <w:r w:rsidR="004E4C78">
      <w:rPr>
        <w:b/>
        <w:i/>
        <w:noProof/>
        <w:color w:val="0070C0"/>
        <w:sz w:val="20"/>
      </w:rPr>
      <w:t>4</w:t>
    </w:r>
    <w:r w:rsidR="00BA6E7F" w:rsidRPr="00BA6E7F">
      <w:rPr>
        <w:b/>
        <w:i/>
        <w:noProof/>
        <w:color w:val="0070C0"/>
        <w:sz w:val="20"/>
      </w:rPr>
      <w:fldChar w:fldCharType="end"/>
    </w:r>
  </w:p>
  <w:p w14:paraId="362A0C01" w14:textId="22957A00" w:rsidR="00BA6E7F" w:rsidRPr="00BA6E7F" w:rsidRDefault="002A3A5F">
    <w:pPr>
      <w:pStyle w:val="Footer"/>
      <w:rPr>
        <w:b/>
        <w:i/>
        <w:color w:val="0070C0"/>
        <w:sz w:val="20"/>
      </w:rPr>
    </w:pPr>
    <w:r>
      <w:rPr>
        <w:b/>
        <w:i/>
        <w:noProof/>
        <w:color w:val="0070C0"/>
        <w:sz w:val="20"/>
      </w:rPr>
      <w:t>Professor Bruce Welt, Spring 202</w:t>
    </w:r>
    <w:r w:rsidR="00EF03C5">
      <w:rPr>
        <w:b/>
        <w:i/>
        <w:noProof/>
        <w:color w:val="0070C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5994" w14:textId="77777777" w:rsidR="009A31A8" w:rsidRDefault="009A31A8" w:rsidP="00BE1628">
      <w:r>
        <w:separator/>
      </w:r>
    </w:p>
  </w:footnote>
  <w:footnote w:type="continuationSeparator" w:id="0">
    <w:p w14:paraId="064C0E2C" w14:textId="77777777" w:rsidR="009A31A8" w:rsidRDefault="009A31A8" w:rsidP="00B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8A3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21557"/>
    <w:multiLevelType w:val="hybridMultilevel"/>
    <w:tmpl w:val="C758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310"/>
    <w:multiLevelType w:val="multilevel"/>
    <w:tmpl w:val="F2BE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6A3"/>
    <w:multiLevelType w:val="hybridMultilevel"/>
    <w:tmpl w:val="FA70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3727"/>
    <w:multiLevelType w:val="multilevel"/>
    <w:tmpl w:val="028C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20778"/>
    <w:multiLevelType w:val="hybridMultilevel"/>
    <w:tmpl w:val="24FEA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3E1"/>
    <w:multiLevelType w:val="hybridMultilevel"/>
    <w:tmpl w:val="FFBE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66FD2"/>
    <w:multiLevelType w:val="multilevel"/>
    <w:tmpl w:val="0FFE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A43E7"/>
    <w:multiLevelType w:val="multilevel"/>
    <w:tmpl w:val="508A0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FA0515"/>
    <w:multiLevelType w:val="hybridMultilevel"/>
    <w:tmpl w:val="508A0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5B7097"/>
    <w:multiLevelType w:val="hybridMultilevel"/>
    <w:tmpl w:val="40428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1FC7253"/>
    <w:multiLevelType w:val="hybridMultilevel"/>
    <w:tmpl w:val="6E726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A5C6F"/>
    <w:multiLevelType w:val="multilevel"/>
    <w:tmpl w:val="A512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CC6411"/>
    <w:multiLevelType w:val="multilevel"/>
    <w:tmpl w:val="DDDC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47263"/>
    <w:multiLevelType w:val="hybridMultilevel"/>
    <w:tmpl w:val="0AEC4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D130B"/>
    <w:multiLevelType w:val="hybridMultilevel"/>
    <w:tmpl w:val="A45E5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D341D"/>
    <w:multiLevelType w:val="multilevel"/>
    <w:tmpl w:val="DFA4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FF3CA3"/>
    <w:multiLevelType w:val="hybridMultilevel"/>
    <w:tmpl w:val="DFA43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010E3"/>
    <w:multiLevelType w:val="multilevel"/>
    <w:tmpl w:val="EA7C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F441C2"/>
    <w:multiLevelType w:val="hybridMultilevel"/>
    <w:tmpl w:val="DDDCF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F117DA"/>
    <w:multiLevelType w:val="multilevel"/>
    <w:tmpl w:val="609A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33A5E"/>
    <w:multiLevelType w:val="hybridMultilevel"/>
    <w:tmpl w:val="3BFC934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BC211C"/>
    <w:multiLevelType w:val="hybridMultilevel"/>
    <w:tmpl w:val="826E2ABC"/>
    <w:lvl w:ilvl="0" w:tplc="A552C7A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 w15:restartNumberingAfterBreak="0">
    <w:nsid w:val="74E41350"/>
    <w:multiLevelType w:val="hybridMultilevel"/>
    <w:tmpl w:val="4C12E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71448"/>
    <w:multiLevelType w:val="hybridMultilevel"/>
    <w:tmpl w:val="10F84C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0725652">
    <w:abstractNumId w:val="24"/>
  </w:num>
  <w:num w:numId="2" w16cid:durableId="1430080168">
    <w:abstractNumId w:val="9"/>
  </w:num>
  <w:num w:numId="3" w16cid:durableId="351155139">
    <w:abstractNumId w:val="8"/>
  </w:num>
  <w:num w:numId="4" w16cid:durableId="1309868306">
    <w:abstractNumId w:val="19"/>
  </w:num>
  <w:num w:numId="5" w16cid:durableId="1315329258">
    <w:abstractNumId w:val="13"/>
  </w:num>
  <w:num w:numId="6" w16cid:durableId="31811950">
    <w:abstractNumId w:val="17"/>
  </w:num>
  <w:num w:numId="7" w16cid:durableId="1927960227">
    <w:abstractNumId w:val="16"/>
  </w:num>
  <w:num w:numId="8" w16cid:durableId="782381627">
    <w:abstractNumId w:val="21"/>
  </w:num>
  <w:num w:numId="9" w16cid:durableId="1319260632">
    <w:abstractNumId w:val="14"/>
  </w:num>
  <w:num w:numId="10" w16cid:durableId="6703301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7814775">
    <w:abstractNumId w:val="1"/>
  </w:num>
  <w:num w:numId="12" w16cid:durableId="1201429680">
    <w:abstractNumId w:val="0"/>
  </w:num>
  <w:num w:numId="13" w16cid:durableId="1356036528">
    <w:abstractNumId w:val="10"/>
  </w:num>
  <w:num w:numId="14" w16cid:durableId="951671180">
    <w:abstractNumId w:val="6"/>
  </w:num>
  <w:num w:numId="15" w16cid:durableId="908076676">
    <w:abstractNumId w:val="23"/>
  </w:num>
  <w:num w:numId="16" w16cid:durableId="155731021">
    <w:abstractNumId w:val="3"/>
  </w:num>
  <w:num w:numId="17" w16cid:durableId="1513179928">
    <w:abstractNumId w:val="2"/>
  </w:num>
  <w:num w:numId="18" w16cid:durableId="274796950">
    <w:abstractNumId w:val="7"/>
  </w:num>
  <w:num w:numId="19" w16cid:durableId="1450658079">
    <w:abstractNumId w:val="20"/>
  </w:num>
  <w:num w:numId="20" w16cid:durableId="1159422207">
    <w:abstractNumId w:val="18"/>
  </w:num>
  <w:num w:numId="21" w16cid:durableId="1476482886">
    <w:abstractNumId w:val="12"/>
  </w:num>
  <w:num w:numId="22" w16cid:durableId="464931369">
    <w:abstractNumId w:val="4"/>
  </w:num>
  <w:num w:numId="23" w16cid:durableId="1993295811">
    <w:abstractNumId w:val="22"/>
  </w:num>
  <w:num w:numId="24" w16cid:durableId="1265264757">
    <w:abstractNumId w:val="15"/>
  </w:num>
  <w:num w:numId="25" w16cid:durableId="899484868">
    <w:abstractNumId w:val="5"/>
  </w:num>
  <w:num w:numId="26" w16cid:durableId="1934433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D"/>
    <w:rsid w:val="000059DB"/>
    <w:rsid w:val="00005F7B"/>
    <w:rsid w:val="00015FB0"/>
    <w:rsid w:val="00052736"/>
    <w:rsid w:val="000A43C2"/>
    <w:rsid w:val="000E47C0"/>
    <w:rsid w:val="00103F43"/>
    <w:rsid w:val="001044BC"/>
    <w:rsid w:val="001512E8"/>
    <w:rsid w:val="00154552"/>
    <w:rsid w:val="00163194"/>
    <w:rsid w:val="00177620"/>
    <w:rsid w:val="00180A7A"/>
    <w:rsid w:val="001B26B3"/>
    <w:rsid w:val="001C18FE"/>
    <w:rsid w:val="00294140"/>
    <w:rsid w:val="002A3A5F"/>
    <w:rsid w:val="002C5169"/>
    <w:rsid w:val="002C6999"/>
    <w:rsid w:val="00306491"/>
    <w:rsid w:val="003606D0"/>
    <w:rsid w:val="0036629D"/>
    <w:rsid w:val="003719EB"/>
    <w:rsid w:val="00387576"/>
    <w:rsid w:val="0039295A"/>
    <w:rsid w:val="003954D8"/>
    <w:rsid w:val="00402DE7"/>
    <w:rsid w:val="0042747A"/>
    <w:rsid w:val="004468A9"/>
    <w:rsid w:val="00446E03"/>
    <w:rsid w:val="004547C4"/>
    <w:rsid w:val="00467129"/>
    <w:rsid w:val="00471291"/>
    <w:rsid w:val="00480431"/>
    <w:rsid w:val="0048094A"/>
    <w:rsid w:val="00486F4A"/>
    <w:rsid w:val="00487A25"/>
    <w:rsid w:val="004D0AEF"/>
    <w:rsid w:val="004E4C78"/>
    <w:rsid w:val="004E4F50"/>
    <w:rsid w:val="004F04F2"/>
    <w:rsid w:val="00535588"/>
    <w:rsid w:val="00554161"/>
    <w:rsid w:val="005B1CED"/>
    <w:rsid w:val="005B2C60"/>
    <w:rsid w:val="005B522F"/>
    <w:rsid w:val="005E6E52"/>
    <w:rsid w:val="005F04C2"/>
    <w:rsid w:val="006121DE"/>
    <w:rsid w:val="006371D1"/>
    <w:rsid w:val="00640AF7"/>
    <w:rsid w:val="006472C3"/>
    <w:rsid w:val="00661E7B"/>
    <w:rsid w:val="0069314C"/>
    <w:rsid w:val="006A6E05"/>
    <w:rsid w:val="006B78E2"/>
    <w:rsid w:val="006D3E0B"/>
    <w:rsid w:val="006D7E9A"/>
    <w:rsid w:val="006E45B2"/>
    <w:rsid w:val="006E56E7"/>
    <w:rsid w:val="006E5BF1"/>
    <w:rsid w:val="006E7FC7"/>
    <w:rsid w:val="00700F97"/>
    <w:rsid w:val="0071510B"/>
    <w:rsid w:val="00716A94"/>
    <w:rsid w:val="00723063"/>
    <w:rsid w:val="00737CEA"/>
    <w:rsid w:val="007539EC"/>
    <w:rsid w:val="00753A75"/>
    <w:rsid w:val="007543D6"/>
    <w:rsid w:val="00762518"/>
    <w:rsid w:val="007636D8"/>
    <w:rsid w:val="00772495"/>
    <w:rsid w:val="007A3FA2"/>
    <w:rsid w:val="007D5860"/>
    <w:rsid w:val="008015F9"/>
    <w:rsid w:val="00820834"/>
    <w:rsid w:val="00856F94"/>
    <w:rsid w:val="008618A9"/>
    <w:rsid w:val="008B0BAC"/>
    <w:rsid w:val="008C7A17"/>
    <w:rsid w:val="00913DE2"/>
    <w:rsid w:val="00955689"/>
    <w:rsid w:val="009576C2"/>
    <w:rsid w:val="00970FF2"/>
    <w:rsid w:val="0097114A"/>
    <w:rsid w:val="0098386C"/>
    <w:rsid w:val="00987CF7"/>
    <w:rsid w:val="009945F2"/>
    <w:rsid w:val="009A0F7D"/>
    <w:rsid w:val="009A31A8"/>
    <w:rsid w:val="009C7115"/>
    <w:rsid w:val="009F525D"/>
    <w:rsid w:val="00A113F9"/>
    <w:rsid w:val="00A34B9C"/>
    <w:rsid w:val="00A5651B"/>
    <w:rsid w:val="00A94189"/>
    <w:rsid w:val="00AB22AF"/>
    <w:rsid w:val="00AB63EB"/>
    <w:rsid w:val="00AF6833"/>
    <w:rsid w:val="00B032C4"/>
    <w:rsid w:val="00B12580"/>
    <w:rsid w:val="00B27408"/>
    <w:rsid w:val="00B62E63"/>
    <w:rsid w:val="00B630FD"/>
    <w:rsid w:val="00BA6E7F"/>
    <w:rsid w:val="00BC3B05"/>
    <w:rsid w:val="00BD2088"/>
    <w:rsid w:val="00BE1628"/>
    <w:rsid w:val="00BE2C7E"/>
    <w:rsid w:val="00BF4C6B"/>
    <w:rsid w:val="00C009AB"/>
    <w:rsid w:val="00C02E4C"/>
    <w:rsid w:val="00C155FC"/>
    <w:rsid w:val="00C16439"/>
    <w:rsid w:val="00C32E6E"/>
    <w:rsid w:val="00C37860"/>
    <w:rsid w:val="00C708AC"/>
    <w:rsid w:val="00C95EC1"/>
    <w:rsid w:val="00CA04E0"/>
    <w:rsid w:val="00CB69D7"/>
    <w:rsid w:val="00CC3A1F"/>
    <w:rsid w:val="00CF2A83"/>
    <w:rsid w:val="00D101D2"/>
    <w:rsid w:val="00D2072E"/>
    <w:rsid w:val="00D213EF"/>
    <w:rsid w:val="00D2542F"/>
    <w:rsid w:val="00D421E7"/>
    <w:rsid w:val="00D938D3"/>
    <w:rsid w:val="00DC07B4"/>
    <w:rsid w:val="00DC214D"/>
    <w:rsid w:val="00DC7452"/>
    <w:rsid w:val="00DD0E35"/>
    <w:rsid w:val="00DD5BCC"/>
    <w:rsid w:val="00DF23B1"/>
    <w:rsid w:val="00DF3AD0"/>
    <w:rsid w:val="00E04165"/>
    <w:rsid w:val="00E26DF0"/>
    <w:rsid w:val="00E272B1"/>
    <w:rsid w:val="00E31CD5"/>
    <w:rsid w:val="00E857DD"/>
    <w:rsid w:val="00ED2089"/>
    <w:rsid w:val="00EE38EF"/>
    <w:rsid w:val="00EF03C5"/>
    <w:rsid w:val="00EF206B"/>
    <w:rsid w:val="00F2130D"/>
    <w:rsid w:val="00F433D1"/>
    <w:rsid w:val="00F43911"/>
    <w:rsid w:val="00FB6F04"/>
    <w:rsid w:val="00FB79EB"/>
    <w:rsid w:val="00FC1957"/>
    <w:rsid w:val="00FE6428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0A220"/>
  <w15:chartTrackingRefBased/>
  <w15:docId w15:val="{476CF97E-FF64-46F1-9CBD-195E51DC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689"/>
    <w:rPr>
      <w:rFonts w:ascii="Cambria" w:hAnsi="Cambr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27DD"/>
    <w:pPr>
      <w:widowControl w:val="0"/>
      <w:spacing w:after="120"/>
      <w:jc w:val="both"/>
    </w:pPr>
    <w:rPr>
      <w:color w:val="000000"/>
      <w:szCs w:val="20"/>
    </w:rPr>
  </w:style>
  <w:style w:type="character" w:styleId="Hyperlink">
    <w:name w:val="Hyperlink"/>
    <w:uiPriority w:val="99"/>
    <w:unhideWhenUsed/>
    <w:rsid w:val="00B80ACE"/>
    <w:rPr>
      <w:color w:val="0000FF"/>
      <w:u w:val="single"/>
    </w:rPr>
  </w:style>
  <w:style w:type="paragraph" w:styleId="Header">
    <w:name w:val="header"/>
    <w:basedOn w:val="Normal"/>
    <w:link w:val="HeaderChar"/>
    <w:rsid w:val="00BE16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1628"/>
    <w:rPr>
      <w:sz w:val="24"/>
      <w:szCs w:val="24"/>
    </w:rPr>
  </w:style>
  <w:style w:type="paragraph" w:styleId="Footer">
    <w:name w:val="footer"/>
    <w:basedOn w:val="Normal"/>
    <w:link w:val="FooterChar"/>
    <w:rsid w:val="00BE16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E1628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6E52"/>
    <w:pPr>
      <w:ind w:left="720"/>
    </w:pPr>
  </w:style>
  <w:style w:type="character" w:styleId="FollowedHyperlink">
    <w:name w:val="FollowedHyperlink"/>
    <w:rsid w:val="00640AF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F0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04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689"/>
    <w:pPr>
      <w:ind w:left="720"/>
      <w:contextualSpacing/>
    </w:pPr>
  </w:style>
  <w:style w:type="table" w:styleId="TableGrid">
    <w:name w:val="Table Grid"/>
    <w:basedOn w:val="TableNormal"/>
    <w:rsid w:val="006E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F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1B26B3"/>
    <w:rPr>
      <w:sz w:val="18"/>
      <w:szCs w:val="18"/>
    </w:rPr>
  </w:style>
  <w:style w:type="paragraph" w:styleId="CommentText">
    <w:name w:val="annotation text"/>
    <w:basedOn w:val="Normal"/>
    <w:link w:val="CommentTextChar"/>
    <w:rsid w:val="001B26B3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1B26B3"/>
    <w:rPr>
      <w:rFonts w:ascii="Cambria" w:hAnsi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B26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B26B3"/>
    <w:rPr>
      <w:rFonts w:ascii="Cambria" w:hAnsi="Cambria"/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71291"/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1291"/>
    <w:rPr>
      <w:rFonts w:ascii="Calibr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3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1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45B2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fl.edu/ugrad/current/regulations/info/attendance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d@ufl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udent-support-hr@eng.ufl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ufl.edu/syllabuspolic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A465-6067-4078-9926-978220A0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872</Words>
  <Characters>5215</Characters>
  <Application>Microsoft Office Word</Application>
  <DocSecurity>0</DocSecurity>
  <Lines>127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Standardized Syllabus for the College of Engineering</vt:lpstr>
    </vt:vector>
  </TitlesOfParts>
  <Company>University of Florida</Company>
  <LinksUpToDate>false</LinksUpToDate>
  <CharactersWithSpaces>6005</CharactersWithSpaces>
  <SharedDoc>false</SharedDoc>
  <HLinks>
    <vt:vector size="48" baseType="variant">
      <vt:variant>
        <vt:i4>720974</vt:i4>
      </vt:variant>
      <vt:variant>
        <vt:i4>21</vt:i4>
      </vt:variant>
      <vt:variant>
        <vt:i4>0</vt:i4>
      </vt:variant>
      <vt:variant>
        <vt:i4>5</vt:i4>
      </vt:variant>
      <vt:variant>
        <vt:lpwstr>https://evaluations.ufl.edu/results/</vt:lpwstr>
      </vt:variant>
      <vt:variant>
        <vt:lpwstr/>
      </vt:variant>
      <vt:variant>
        <vt:i4>4194384</vt:i4>
      </vt:variant>
      <vt:variant>
        <vt:i4>18</vt:i4>
      </vt:variant>
      <vt:variant>
        <vt:i4>0</vt:i4>
      </vt:variant>
      <vt:variant>
        <vt:i4>5</vt:i4>
      </vt:variant>
      <vt:variant>
        <vt:lpwstr>https://evaluations.ufl.edu/</vt:lpwstr>
      </vt:variant>
      <vt:variant>
        <vt:lpwstr/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>http://www.counseling.ufl.edu/cwc/Default.aspx</vt:lpwstr>
      </vt:variant>
      <vt:variant>
        <vt:lpwstr/>
      </vt:variant>
      <vt:variant>
        <vt:i4>1835035</vt:i4>
      </vt:variant>
      <vt:variant>
        <vt:i4>12</vt:i4>
      </vt:variant>
      <vt:variant>
        <vt:i4>0</vt:i4>
      </vt:variant>
      <vt:variant>
        <vt:i4>5</vt:i4>
      </vt:variant>
      <vt:variant>
        <vt:lpwstr>http://www.dso.ufl.edu/sccr/procedures/honorcode.php</vt:lpwstr>
      </vt:variant>
      <vt:variant>
        <vt:lpwstr/>
      </vt:variant>
      <vt:variant>
        <vt:i4>3670120</vt:i4>
      </vt:variant>
      <vt:variant>
        <vt:i4>9</vt:i4>
      </vt:variant>
      <vt:variant>
        <vt:i4>0</vt:i4>
      </vt:variant>
      <vt:variant>
        <vt:i4>5</vt:i4>
      </vt:variant>
      <vt:variant>
        <vt:lpwstr>https://catalog.ufl.edu/ugrad/current/regulations/info/attendance.aspx</vt:lpwstr>
      </vt:variant>
      <vt:variant>
        <vt:lpwstr/>
      </vt:variant>
      <vt:variant>
        <vt:i4>4194320</vt:i4>
      </vt:variant>
      <vt:variant>
        <vt:i4>6</vt:i4>
      </vt:variant>
      <vt:variant>
        <vt:i4>0</vt:i4>
      </vt:variant>
      <vt:variant>
        <vt:i4>5</vt:i4>
      </vt:variant>
      <vt:variant>
        <vt:lpwstr>http://gradcatalog.ufl.edu/content.php?catoid=4&amp;navoid=907</vt:lpwstr>
      </vt:variant>
      <vt:variant>
        <vt:lpwstr>grades</vt:lpwstr>
      </vt:variant>
      <vt:variant>
        <vt:i4>2228339</vt:i4>
      </vt:variant>
      <vt:variant>
        <vt:i4>3</vt:i4>
      </vt:variant>
      <vt:variant>
        <vt:i4>0</vt:i4>
      </vt:variant>
      <vt:variant>
        <vt:i4>5</vt:i4>
      </vt:variant>
      <vt:variant>
        <vt:lpwstr>https://catalog.ufl.edu/ugrad/current/regulations/info/grades.aspx</vt:lpwstr>
      </vt:variant>
      <vt:variant>
        <vt:lpwstr/>
      </vt:variant>
      <vt:variant>
        <vt:i4>2228339</vt:i4>
      </vt:variant>
      <vt:variant>
        <vt:i4>0</vt:i4>
      </vt:variant>
      <vt:variant>
        <vt:i4>0</vt:i4>
      </vt:variant>
      <vt:variant>
        <vt:i4>5</vt:i4>
      </vt:variant>
      <vt:variant>
        <vt:lpwstr>https://catalog.ufl.edu/ugrad/current/regulations/info/grades.aspx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subject/>
  <dc:creator>Paul A. Chadik</dc:creator>
  <cp:keywords/>
  <cp:lastModifiedBy>Welt,Bruce Ari</cp:lastModifiedBy>
  <cp:revision>5</cp:revision>
  <cp:lastPrinted>2025-01-03T17:50:00Z</cp:lastPrinted>
  <dcterms:created xsi:type="dcterms:W3CDTF">2025-12-01T17:57:00Z</dcterms:created>
  <dcterms:modified xsi:type="dcterms:W3CDTF">2025-12-01T17:59:00Z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df8e4a5c391cb093c71190838d79df2b601165880e013d7d9774978cca2ae7d0</vt:lpwstr>
  </property>
</Properties>
</file>