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F1C46" w14:textId="77777777" w:rsidR="000104A6" w:rsidRPr="000104A6" w:rsidRDefault="000104A6" w:rsidP="000104A6">
      <w:r w:rsidRPr="000104A6">
        <w:rPr>
          <w:b/>
          <w:bCs/>
        </w:rPr>
        <w:t>ABE 6986: Applied Mathematics in Agriculture &amp; Life Sciences</w:t>
      </w:r>
    </w:p>
    <w:p w14:paraId="1EDCA79C" w14:textId="77777777" w:rsidR="000104A6" w:rsidRPr="000104A6" w:rsidRDefault="000104A6" w:rsidP="000104A6">
      <w:r w:rsidRPr="000104A6">
        <w:t>Spring 2025</w:t>
      </w:r>
    </w:p>
    <w:p w14:paraId="1216E105" w14:textId="77777777" w:rsidR="000104A6" w:rsidRPr="000104A6" w:rsidRDefault="000104A6" w:rsidP="000104A6">
      <w:r w:rsidRPr="000104A6">
        <w:t>Credits: 3</w:t>
      </w:r>
    </w:p>
    <w:p w14:paraId="12C32C06" w14:textId="77777777" w:rsidR="000104A6" w:rsidRPr="000104A6" w:rsidRDefault="000104A6" w:rsidP="000104A6">
      <w:r w:rsidRPr="000104A6">
        <w:rPr>
          <w:b/>
          <w:bCs/>
        </w:rPr>
        <w:t>Catalog Description:</w:t>
      </w:r>
    </w:p>
    <w:p w14:paraId="647CA64A" w14:textId="77777777" w:rsidR="000104A6" w:rsidRPr="000104A6" w:rsidRDefault="000104A6" w:rsidP="000104A6">
      <w:r w:rsidRPr="000104A6">
        <w:t xml:space="preserve">Mathematical methods, including regression analysis, graphical techniques, and analytical and numerical </w:t>
      </w:r>
      <w:proofErr w:type="gramStart"/>
      <w:r w:rsidRPr="000104A6">
        <w:t>solution</w:t>
      </w:r>
      <w:proofErr w:type="gramEnd"/>
      <w:r w:rsidRPr="000104A6">
        <w:t xml:space="preserve"> of ordinary and partial differential equations, relevant to engineering in agriculture and the related sciences.</w:t>
      </w:r>
    </w:p>
    <w:p w14:paraId="1D0442FF" w14:textId="77777777" w:rsidR="000104A6" w:rsidRPr="000104A6" w:rsidRDefault="000104A6" w:rsidP="000104A6">
      <w:r w:rsidRPr="000104A6">
        <w:rPr>
          <w:b/>
          <w:bCs/>
        </w:rPr>
        <w:t>Pre-requisites/Co-requisites:</w:t>
      </w:r>
    </w:p>
    <w:p w14:paraId="478AE982" w14:textId="77777777" w:rsidR="000104A6" w:rsidRPr="000104A6" w:rsidRDefault="000104A6" w:rsidP="000104A6">
      <w:r w:rsidRPr="000104A6">
        <w:rPr>
          <w:i/>
          <w:iCs/>
        </w:rPr>
        <w:t>MAP2302: Elementary Differential Equations or equivalent.</w:t>
      </w:r>
    </w:p>
    <w:p w14:paraId="372CF4E5" w14:textId="77777777" w:rsidR="000104A6" w:rsidRPr="000104A6" w:rsidRDefault="000104A6" w:rsidP="000104A6">
      <w:r w:rsidRPr="000104A6">
        <w:rPr>
          <w:b/>
          <w:bCs/>
        </w:rPr>
        <w:t>Course Objectives:</w:t>
      </w:r>
    </w:p>
    <w:p w14:paraId="52BBD8C5" w14:textId="77777777" w:rsidR="000104A6" w:rsidRPr="000104A6" w:rsidRDefault="000104A6" w:rsidP="000104A6">
      <w:pPr>
        <w:numPr>
          <w:ilvl w:val="0"/>
          <w:numId w:val="1"/>
        </w:numPr>
      </w:pPr>
      <w:r w:rsidRPr="000104A6">
        <w:t>Increase competence with applied math as a tool of science and engineering.</w:t>
      </w:r>
    </w:p>
    <w:p w14:paraId="0B77E6C5" w14:textId="77777777" w:rsidR="000104A6" w:rsidRPr="000104A6" w:rsidRDefault="000104A6" w:rsidP="000104A6">
      <w:pPr>
        <w:numPr>
          <w:ilvl w:val="0"/>
          <w:numId w:val="1"/>
        </w:numPr>
      </w:pPr>
      <w:r w:rsidRPr="000104A6">
        <w:t>Discuss complementary structure (physics &amp; math) of theories and models.</w:t>
      </w:r>
    </w:p>
    <w:p w14:paraId="11DCC7F2" w14:textId="77777777" w:rsidR="000104A6" w:rsidRPr="000104A6" w:rsidRDefault="000104A6" w:rsidP="000104A6">
      <w:pPr>
        <w:numPr>
          <w:ilvl w:val="0"/>
          <w:numId w:val="1"/>
        </w:numPr>
      </w:pPr>
      <w:r w:rsidRPr="000104A6">
        <w:t>Enhance capability with analytical and numerical procedures.</w:t>
      </w:r>
    </w:p>
    <w:p w14:paraId="5DEF411D" w14:textId="77777777" w:rsidR="000104A6" w:rsidRPr="000104A6" w:rsidRDefault="000104A6" w:rsidP="000104A6">
      <w:pPr>
        <w:numPr>
          <w:ilvl w:val="0"/>
          <w:numId w:val="1"/>
        </w:numPr>
      </w:pPr>
      <w:r w:rsidRPr="000104A6">
        <w:t>Develop appreciation for conceptual foundations for math models.</w:t>
      </w:r>
    </w:p>
    <w:p w14:paraId="3EA1EA33" w14:textId="77777777" w:rsidR="000104A6" w:rsidRPr="000104A6" w:rsidRDefault="000104A6" w:rsidP="000104A6">
      <w:pPr>
        <w:numPr>
          <w:ilvl w:val="0"/>
          <w:numId w:val="1"/>
        </w:numPr>
      </w:pPr>
      <w:r w:rsidRPr="000104A6">
        <w:t>Broaden professional ability as Agricultural and Biological Engineers.</w:t>
      </w:r>
    </w:p>
    <w:p w14:paraId="64A2793F" w14:textId="77777777" w:rsidR="000104A6" w:rsidRPr="000104A6" w:rsidRDefault="000104A6" w:rsidP="000104A6">
      <w:r w:rsidRPr="000104A6">
        <w:rPr>
          <w:b/>
          <w:bCs/>
        </w:rPr>
        <w:t>Instructor:</w:t>
      </w:r>
    </w:p>
    <w:p w14:paraId="4812541B" w14:textId="77777777" w:rsidR="000104A6" w:rsidRPr="000104A6" w:rsidRDefault="000104A6" w:rsidP="000104A6">
      <w:r w:rsidRPr="000104A6">
        <w:t>Richard V. Scholtz, III</w:t>
      </w:r>
    </w:p>
    <w:p w14:paraId="02317112" w14:textId="77777777" w:rsidR="000104A6" w:rsidRPr="000104A6" w:rsidRDefault="000104A6" w:rsidP="000104A6">
      <w:r w:rsidRPr="000104A6">
        <w:t>Office location: 169 Rogers Hall</w:t>
      </w:r>
    </w:p>
    <w:p w14:paraId="3DCB6A2C" w14:textId="77777777" w:rsidR="000104A6" w:rsidRPr="000104A6" w:rsidRDefault="000104A6" w:rsidP="000104A6">
      <w:r w:rsidRPr="000104A6">
        <w:t>Telephone: 352-294-6704</w:t>
      </w:r>
    </w:p>
    <w:p w14:paraId="3FB50163" w14:textId="77777777" w:rsidR="000104A6" w:rsidRPr="000104A6" w:rsidRDefault="000104A6" w:rsidP="000104A6">
      <w:r w:rsidRPr="000104A6">
        <w:t>E-mail address: rscholtz@ufl.edu</w:t>
      </w:r>
    </w:p>
    <w:p w14:paraId="1E0316EC" w14:textId="77777777" w:rsidR="000104A6" w:rsidRPr="000104A6" w:rsidRDefault="000104A6" w:rsidP="000104A6">
      <w:r w:rsidRPr="000104A6">
        <w:t>Office Hours: MWF 3:00-4:00 PM</w:t>
      </w:r>
    </w:p>
    <w:p w14:paraId="77931B0C" w14:textId="77777777" w:rsidR="000104A6" w:rsidRPr="000104A6" w:rsidRDefault="000104A6" w:rsidP="000104A6">
      <w:r w:rsidRPr="000104A6">
        <w:rPr>
          <w:b/>
          <w:bCs/>
        </w:rPr>
        <w:t>Class Materials Required: </w:t>
      </w:r>
    </w:p>
    <w:p w14:paraId="618187DB" w14:textId="77777777" w:rsidR="000104A6" w:rsidRPr="000104A6" w:rsidRDefault="000104A6" w:rsidP="000104A6">
      <w:r w:rsidRPr="000104A6">
        <w:rPr>
          <w:b/>
          <w:bCs/>
        </w:rPr>
        <w:t>Textbook</w:t>
      </w:r>
      <w:proofErr w:type="gramStart"/>
      <w:r w:rsidRPr="000104A6">
        <w:rPr>
          <w:b/>
          <w:bCs/>
        </w:rPr>
        <w:t>:</w:t>
      </w:r>
      <w:r w:rsidRPr="000104A6">
        <w:t>  No</w:t>
      </w:r>
      <w:proofErr w:type="gramEnd"/>
      <w:r w:rsidRPr="000104A6">
        <w:t xml:space="preserve"> official text.</w:t>
      </w:r>
    </w:p>
    <w:p w14:paraId="4145B6FF" w14:textId="77777777" w:rsidR="000104A6" w:rsidRPr="000104A6" w:rsidRDefault="000104A6" w:rsidP="000104A6">
      <w:r w:rsidRPr="000104A6">
        <w:t>Lecture notes and other handout materials will be provided, as it becomes available, via e-learning at </w:t>
      </w:r>
      <w:hyperlink r:id="rId5" w:tgtFrame="_blank" w:history="1">
        <w:r w:rsidRPr="000104A6">
          <w:rPr>
            <w:rStyle w:val="Hyperlink"/>
          </w:rPr>
          <w:t>http://elearning.ufl.eduLinks to an external site.</w:t>
        </w:r>
      </w:hyperlink>
      <w:r w:rsidRPr="000104A6">
        <w:t>, look under ABE6986 in Canvas.</w:t>
      </w:r>
    </w:p>
    <w:p w14:paraId="2A8A37B2" w14:textId="77777777" w:rsidR="000104A6" w:rsidRPr="000104A6" w:rsidRDefault="000104A6" w:rsidP="000104A6">
      <w:r w:rsidRPr="000104A6">
        <w:lastRenderedPageBreak/>
        <w:t>Instructional materials for this course consist of only those materials specifically reviewed, selected, and assigned by the instructor. The instructor is only responsible for these instructional materials.</w:t>
      </w:r>
    </w:p>
    <w:p w14:paraId="13876017" w14:textId="77777777" w:rsidR="000104A6" w:rsidRPr="000104A6" w:rsidRDefault="000104A6" w:rsidP="000104A6">
      <w:r w:rsidRPr="000104A6">
        <w:rPr>
          <w:b/>
          <w:bCs/>
        </w:rPr>
        <w:t>Material Fees</w:t>
      </w:r>
      <w:proofErr w:type="gramStart"/>
      <w:r w:rsidRPr="000104A6">
        <w:rPr>
          <w:b/>
          <w:bCs/>
        </w:rPr>
        <w:t>:</w:t>
      </w:r>
      <w:r w:rsidRPr="000104A6">
        <w:t>  None</w:t>
      </w:r>
      <w:proofErr w:type="gramEnd"/>
      <w:r w:rsidRPr="000104A6">
        <w:t>.</w:t>
      </w:r>
    </w:p>
    <w:p w14:paraId="4B7DFD37" w14:textId="77777777" w:rsidR="000104A6" w:rsidRPr="000104A6" w:rsidRDefault="000104A6" w:rsidP="000104A6">
      <w:r w:rsidRPr="000104A6">
        <w:rPr>
          <w:b/>
          <w:bCs/>
        </w:rPr>
        <w:t>Class Materials Suggested: </w:t>
      </w:r>
    </w:p>
    <w:p w14:paraId="3B67FCEC" w14:textId="77777777" w:rsidR="000104A6" w:rsidRPr="000104A6" w:rsidRDefault="000104A6" w:rsidP="000104A6">
      <w:r w:rsidRPr="000104A6">
        <w:rPr>
          <w:b/>
          <w:bCs/>
        </w:rPr>
        <w:t>Books:</w:t>
      </w:r>
      <w:r w:rsidRPr="000104A6">
        <w:t xml:space="preserve">   Abramowitz, M. and I. A. </w:t>
      </w:r>
      <w:proofErr w:type="spellStart"/>
      <w:r w:rsidRPr="000104A6">
        <w:t>Stegun</w:t>
      </w:r>
      <w:proofErr w:type="spellEnd"/>
      <w:r w:rsidRPr="000104A6">
        <w:t>. 1965. </w:t>
      </w:r>
      <w:r w:rsidRPr="000104A6">
        <w:rPr>
          <w:i/>
          <w:iCs/>
        </w:rPr>
        <w:t>Handbook of Mathematical Functions.</w:t>
      </w:r>
      <w:r w:rsidRPr="000104A6">
        <w:t> Dover Publications, New York. ISBN-10: 0486612724</w:t>
      </w:r>
    </w:p>
    <w:p w14:paraId="1F5ED0B0" w14:textId="77777777" w:rsidR="000104A6" w:rsidRPr="000104A6" w:rsidRDefault="000104A6" w:rsidP="000104A6">
      <w:r w:rsidRPr="000104A6">
        <w:t>Riley, K. F., M. P. Hobson, and S. J. Bence.  1997</w:t>
      </w:r>
      <w:proofErr w:type="gramStart"/>
      <w:r w:rsidRPr="000104A6">
        <w:t>.  </w:t>
      </w:r>
      <w:r w:rsidRPr="000104A6">
        <w:rPr>
          <w:i/>
          <w:iCs/>
        </w:rPr>
        <w:t>Mathematical</w:t>
      </w:r>
      <w:proofErr w:type="gramEnd"/>
      <w:r w:rsidRPr="000104A6">
        <w:rPr>
          <w:i/>
          <w:iCs/>
        </w:rPr>
        <w:t xml:space="preserve"> Methods for Physics and Engineering.</w:t>
      </w:r>
      <w:r w:rsidRPr="000104A6">
        <w:t>  Cambridge University Press, New York. ISBN-10: 0521890675</w:t>
      </w:r>
    </w:p>
    <w:p w14:paraId="1378B972" w14:textId="77777777" w:rsidR="000104A6" w:rsidRPr="000104A6" w:rsidRDefault="000104A6" w:rsidP="000104A6">
      <w:r w:rsidRPr="000104A6">
        <w:t>Spiegel, M. R. 1965</w:t>
      </w:r>
      <w:r w:rsidRPr="000104A6">
        <w:rPr>
          <w:i/>
          <w:iCs/>
        </w:rPr>
        <w:t>. Laplace Transforms.</w:t>
      </w:r>
      <w:r w:rsidRPr="000104A6">
        <w:t> Schaum Publishing Co., New York. ISBN-10: 007060231X</w:t>
      </w:r>
    </w:p>
    <w:p w14:paraId="196F0529" w14:textId="77777777" w:rsidR="000104A6" w:rsidRPr="000104A6" w:rsidRDefault="000104A6" w:rsidP="000104A6">
      <w:r w:rsidRPr="000104A6">
        <w:t>Spiegel, M. R. 1968</w:t>
      </w:r>
      <w:r w:rsidRPr="000104A6">
        <w:rPr>
          <w:i/>
          <w:iCs/>
        </w:rPr>
        <w:t>. Mathematical Handbook of Formulas and Tables.</w:t>
      </w:r>
      <w:r w:rsidRPr="000104A6">
        <w:t> Schaum Publishing Co., New York. ISBN-10: 0071795375</w:t>
      </w:r>
    </w:p>
    <w:p w14:paraId="5325B8F4" w14:textId="77777777" w:rsidR="000104A6" w:rsidRPr="000104A6" w:rsidRDefault="000104A6" w:rsidP="000104A6">
      <w:r w:rsidRPr="000104A6">
        <w:rPr>
          <w:b/>
          <w:bCs/>
        </w:rPr>
        <w:t>Course Outline:</w:t>
      </w:r>
    </w:p>
    <w:p w14:paraId="69355848" w14:textId="77777777" w:rsidR="000104A6" w:rsidRPr="000104A6" w:rsidRDefault="000104A6" w:rsidP="000104A6">
      <w:r w:rsidRPr="000104A6">
        <w:rPr>
          <w:b/>
          <w:bCs/>
        </w:rPr>
        <w:t>Format</w:t>
      </w:r>
      <w:proofErr w:type="gramStart"/>
      <w:r w:rsidRPr="000104A6">
        <w:rPr>
          <w:b/>
          <w:bCs/>
        </w:rPr>
        <w:t>:  </w:t>
      </w:r>
      <w:r w:rsidRPr="000104A6">
        <w:t>Basic</w:t>
      </w:r>
      <w:proofErr w:type="gramEnd"/>
      <w:r w:rsidRPr="000104A6">
        <w:t xml:space="preserve"> material highlighted in these notes will be covered in lectures along with addition information. Discussions and questions during class are encouraged.</w:t>
      </w:r>
    </w:p>
    <w:p w14:paraId="3E88B4B9" w14:textId="77777777" w:rsidR="000104A6" w:rsidRPr="000104A6" w:rsidRDefault="000104A6" w:rsidP="000104A6">
      <w:r w:rsidRPr="000104A6">
        <w:t>Supplemental readings will be assigned from time to time. Which are designed to enrich knowledge of and appreciation for applied math and physics.</w:t>
      </w:r>
    </w:p>
    <w:p w14:paraId="1D89ECA2" w14:textId="77777777" w:rsidR="000104A6" w:rsidRPr="000104A6" w:rsidRDefault="000104A6" w:rsidP="000104A6">
      <w:r w:rsidRPr="000104A6">
        <w:t>Extensive homework assignments will be assigned, but not graded. As a graduate level math course, it is incumbent of each student to determine how to achieve mastery of each assigned problem.</w:t>
      </w:r>
    </w:p>
    <w:p w14:paraId="4F47CB02" w14:textId="77777777" w:rsidR="000104A6" w:rsidRPr="000104A6" w:rsidRDefault="000104A6" w:rsidP="000104A6">
      <w:r w:rsidRPr="000104A6">
        <w:t xml:space="preserve">There will be three equally weighted examinations, worth 30% each. The problems </w:t>
      </w:r>
      <w:proofErr w:type="gramStart"/>
      <w:r w:rsidRPr="000104A6">
        <w:t>on</w:t>
      </w:r>
      <w:proofErr w:type="gramEnd"/>
      <w:r w:rsidRPr="000104A6">
        <w:t xml:space="preserve"> the examinations will stem from those assigned as homework.</w:t>
      </w:r>
    </w:p>
    <w:p w14:paraId="1043E27F" w14:textId="77777777" w:rsidR="000104A6" w:rsidRPr="000104A6" w:rsidRDefault="000104A6" w:rsidP="000104A6">
      <w:r w:rsidRPr="000104A6">
        <w:t>A computer is an excellent tool, but its operation will not be tested during examinations. As a helpful hint: think first, set up a problem to be solved, then and only then, compute. </w:t>
      </w:r>
    </w:p>
    <w:p w14:paraId="1754E2A7" w14:textId="77777777" w:rsidR="000104A6" w:rsidRPr="000104A6" w:rsidRDefault="000104A6" w:rsidP="000104A6">
      <w:r w:rsidRPr="000104A6">
        <w:t xml:space="preserve">The final 10% shall come from a </w:t>
      </w:r>
      <w:proofErr w:type="gramStart"/>
      <w:r w:rsidRPr="000104A6">
        <w:t>5 page</w:t>
      </w:r>
      <w:proofErr w:type="gramEnd"/>
      <w:r w:rsidRPr="000104A6">
        <w:t xml:space="preserve"> applied math white paper prepared and the peer reviews conducted by each student.</w:t>
      </w:r>
    </w:p>
    <w:p w14:paraId="2E87E335" w14:textId="77777777" w:rsidR="000104A6" w:rsidRPr="000104A6" w:rsidRDefault="000104A6" w:rsidP="000104A6">
      <w:r w:rsidRPr="000104A6">
        <w:rPr>
          <w:b/>
          <w:bCs/>
        </w:rPr>
        <w:t>Timeline:</w:t>
      </w:r>
    </w:p>
    <w:tbl>
      <w:tblPr>
        <w:tblW w:w="11260" w:type="dxa"/>
        <w:shd w:val="clear" w:color="auto" w:fill="FFFFFF"/>
        <w:tblCellMar>
          <w:top w:w="15" w:type="dxa"/>
          <w:left w:w="15" w:type="dxa"/>
          <w:bottom w:w="15" w:type="dxa"/>
          <w:right w:w="15" w:type="dxa"/>
        </w:tblCellMar>
        <w:tblLook w:val="04A0" w:firstRow="1" w:lastRow="0" w:firstColumn="1" w:lastColumn="0" w:noHBand="0" w:noVBand="1"/>
      </w:tblPr>
      <w:tblGrid>
        <w:gridCol w:w="1421"/>
        <w:gridCol w:w="1816"/>
        <w:gridCol w:w="8023"/>
      </w:tblGrid>
      <w:tr w:rsidR="000104A6" w:rsidRPr="000104A6" w14:paraId="06FC7D14" w14:textId="77777777" w:rsidTr="000104A6">
        <w:tc>
          <w:tcPr>
            <w:tcW w:w="1398" w:type="dxa"/>
            <w:shd w:val="clear" w:color="auto" w:fill="FFFFFF"/>
            <w:tcMar>
              <w:top w:w="30" w:type="dxa"/>
              <w:left w:w="30" w:type="dxa"/>
              <w:bottom w:w="30" w:type="dxa"/>
              <w:right w:w="30" w:type="dxa"/>
            </w:tcMar>
            <w:vAlign w:val="center"/>
            <w:hideMark/>
          </w:tcPr>
          <w:p w14:paraId="2E24271F" w14:textId="77777777" w:rsidR="000104A6" w:rsidRPr="000104A6" w:rsidRDefault="000104A6" w:rsidP="000104A6">
            <w:r w:rsidRPr="000104A6">
              <w:rPr>
                <w:b/>
                <w:bCs/>
              </w:rPr>
              <w:t>Lecture</w:t>
            </w:r>
          </w:p>
        </w:tc>
        <w:tc>
          <w:tcPr>
            <w:tcW w:w="1787" w:type="dxa"/>
            <w:shd w:val="clear" w:color="auto" w:fill="FFFFFF"/>
            <w:tcMar>
              <w:top w:w="30" w:type="dxa"/>
              <w:left w:w="30" w:type="dxa"/>
              <w:bottom w:w="30" w:type="dxa"/>
              <w:right w:w="30" w:type="dxa"/>
            </w:tcMar>
            <w:vAlign w:val="center"/>
            <w:hideMark/>
          </w:tcPr>
          <w:p w14:paraId="3BFD92F3" w14:textId="77777777" w:rsidR="000104A6" w:rsidRPr="000104A6" w:rsidRDefault="000104A6" w:rsidP="000104A6">
            <w:r w:rsidRPr="000104A6">
              <w:rPr>
                <w:b/>
                <w:bCs/>
              </w:rPr>
              <w:t>Date</w:t>
            </w:r>
          </w:p>
        </w:tc>
        <w:tc>
          <w:tcPr>
            <w:tcW w:w="7895" w:type="dxa"/>
            <w:shd w:val="clear" w:color="auto" w:fill="FFFFFF"/>
            <w:tcMar>
              <w:top w:w="30" w:type="dxa"/>
              <w:left w:w="30" w:type="dxa"/>
              <w:bottom w:w="30" w:type="dxa"/>
              <w:right w:w="30" w:type="dxa"/>
            </w:tcMar>
            <w:vAlign w:val="center"/>
            <w:hideMark/>
          </w:tcPr>
          <w:p w14:paraId="09FB4115" w14:textId="77777777" w:rsidR="000104A6" w:rsidRPr="000104A6" w:rsidRDefault="000104A6" w:rsidP="000104A6">
            <w:r w:rsidRPr="000104A6">
              <w:rPr>
                <w:b/>
                <w:bCs/>
              </w:rPr>
              <w:t>Topics</w:t>
            </w:r>
          </w:p>
        </w:tc>
      </w:tr>
      <w:tr w:rsidR="000104A6" w:rsidRPr="000104A6" w14:paraId="2943D50F" w14:textId="77777777" w:rsidTr="000104A6">
        <w:tc>
          <w:tcPr>
            <w:tcW w:w="1398" w:type="dxa"/>
            <w:shd w:val="clear" w:color="auto" w:fill="FFFFFF"/>
            <w:tcMar>
              <w:top w:w="30" w:type="dxa"/>
              <w:left w:w="30" w:type="dxa"/>
              <w:bottom w:w="30" w:type="dxa"/>
              <w:right w:w="30" w:type="dxa"/>
            </w:tcMar>
            <w:vAlign w:val="center"/>
            <w:hideMark/>
          </w:tcPr>
          <w:p w14:paraId="1F570F75" w14:textId="77777777" w:rsidR="000104A6" w:rsidRPr="000104A6" w:rsidRDefault="000104A6" w:rsidP="000104A6">
            <w:r w:rsidRPr="000104A6">
              <w:lastRenderedPageBreak/>
              <w:t>1</w:t>
            </w:r>
          </w:p>
        </w:tc>
        <w:tc>
          <w:tcPr>
            <w:tcW w:w="1787" w:type="dxa"/>
            <w:shd w:val="clear" w:color="auto" w:fill="FFFFFF"/>
            <w:tcMar>
              <w:top w:w="30" w:type="dxa"/>
              <w:left w:w="30" w:type="dxa"/>
              <w:bottom w:w="30" w:type="dxa"/>
              <w:right w:w="30" w:type="dxa"/>
            </w:tcMar>
            <w:vAlign w:val="center"/>
            <w:hideMark/>
          </w:tcPr>
          <w:p w14:paraId="69F8AEE7" w14:textId="77777777" w:rsidR="000104A6" w:rsidRPr="000104A6" w:rsidRDefault="000104A6" w:rsidP="000104A6">
            <w:r w:rsidRPr="000104A6">
              <w:t>1/13</w:t>
            </w:r>
          </w:p>
        </w:tc>
        <w:tc>
          <w:tcPr>
            <w:tcW w:w="7895" w:type="dxa"/>
            <w:shd w:val="clear" w:color="auto" w:fill="FFFFFF"/>
            <w:tcMar>
              <w:top w:w="30" w:type="dxa"/>
              <w:left w:w="30" w:type="dxa"/>
              <w:bottom w:w="30" w:type="dxa"/>
              <w:right w:w="30" w:type="dxa"/>
            </w:tcMar>
            <w:vAlign w:val="center"/>
            <w:hideMark/>
          </w:tcPr>
          <w:p w14:paraId="045AC4FD" w14:textId="77777777" w:rsidR="000104A6" w:rsidRPr="000104A6" w:rsidRDefault="000104A6" w:rsidP="000104A6">
            <w:r w:rsidRPr="000104A6">
              <w:t>Syllabus, Goals and Objectives – </w:t>
            </w:r>
            <w:r w:rsidRPr="000104A6">
              <w:rPr>
                <w:i/>
                <w:iCs/>
              </w:rPr>
              <w:t>Student Questionnaire</w:t>
            </w:r>
          </w:p>
        </w:tc>
      </w:tr>
      <w:tr w:rsidR="000104A6" w:rsidRPr="000104A6" w14:paraId="049A4E9B" w14:textId="77777777" w:rsidTr="000104A6">
        <w:tc>
          <w:tcPr>
            <w:tcW w:w="1398" w:type="dxa"/>
            <w:shd w:val="clear" w:color="auto" w:fill="FFFFFF"/>
            <w:tcMar>
              <w:top w:w="30" w:type="dxa"/>
              <w:left w:w="30" w:type="dxa"/>
              <w:bottom w:w="30" w:type="dxa"/>
              <w:right w:w="30" w:type="dxa"/>
            </w:tcMar>
            <w:vAlign w:val="center"/>
            <w:hideMark/>
          </w:tcPr>
          <w:p w14:paraId="2A516E4D" w14:textId="77777777" w:rsidR="000104A6" w:rsidRPr="000104A6" w:rsidRDefault="000104A6" w:rsidP="000104A6">
            <w:r w:rsidRPr="000104A6">
              <w:t>2</w:t>
            </w:r>
          </w:p>
        </w:tc>
        <w:tc>
          <w:tcPr>
            <w:tcW w:w="1787" w:type="dxa"/>
            <w:shd w:val="clear" w:color="auto" w:fill="FFFFFF"/>
            <w:tcMar>
              <w:top w:w="30" w:type="dxa"/>
              <w:left w:w="30" w:type="dxa"/>
              <w:bottom w:w="30" w:type="dxa"/>
              <w:right w:w="30" w:type="dxa"/>
            </w:tcMar>
            <w:vAlign w:val="center"/>
            <w:hideMark/>
          </w:tcPr>
          <w:p w14:paraId="11014F40" w14:textId="77777777" w:rsidR="000104A6" w:rsidRPr="000104A6" w:rsidRDefault="000104A6" w:rsidP="000104A6">
            <w:r w:rsidRPr="000104A6">
              <w:t>1/15</w:t>
            </w:r>
          </w:p>
        </w:tc>
        <w:tc>
          <w:tcPr>
            <w:tcW w:w="7895" w:type="dxa"/>
            <w:shd w:val="clear" w:color="auto" w:fill="FFFFFF"/>
            <w:tcMar>
              <w:top w:w="30" w:type="dxa"/>
              <w:left w:w="30" w:type="dxa"/>
              <w:bottom w:w="30" w:type="dxa"/>
              <w:right w:w="30" w:type="dxa"/>
            </w:tcMar>
            <w:vAlign w:val="center"/>
            <w:hideMark/>
          </w:tcPr>
          <w:p w14:paraId="7A4A0477" w14:textId="77777777" w:rsidR="000104A6" w:rsidRPr="000104A6" w:rsidRDefault="000104A6" w:rsidP="000104A6">
            <w:r w:rsidRPr="000104A6">
              <w:rPr>
                <w:b/>
                <w:bCs/>
              </w:rPr>
              <w:t>Project Description</w:t>
            </w:r>
          </w:p>
        </w:tc>
      </w:tr>
      <w:tr w:rsidR="000104A6" w:rsidRPr="000104A6" w14:paraId="0C8FF7C8" w14:textId="77777777" w:rsidTr="000104A6">
        <w:tc>
          <w:tcPr>
            <w:tcW w:w="1398" w:type="dxa"/>
            <w:shd w:val="clear" w:color="auto" w:fill="FFFFFF"/>
            <w:tcMar>
              <w:top w:w="30" w:type="dxa"/>
              <w:left w:w="30" w:type="dxa"/>
              <w:bottom w:w="30" w:type="dxa"/>
              <w:right w:w="30" w:type="dxa"/>
            </w:tcMar>
            <w:vAlign w:val="center"/>
            <w:hideMark/>
          </w:tcPr>
          <w:p w14:paraId="2EC65013" w14:textId="77777777" w:rsidR="000104A6" w:rsidRPr="000104A6" w:rsidRDefault="000104A6" w:rsidP="000104A6">
            <w:r w:rsidRPr="000104A6">
              <w:t>3</w:t>
            </w:r>
          </w:p>
        </w:tc>
        <w:tc>
          <w:tcPr>
            <w:tcW w:w="1787" w:type="dxa"/>
            <w:shd w:val="clear" w:color="auto" w:fill="FFFFFF"/>
            <w:tcMar>
              <w:top w:w="30" w:type="dxa"/>
              <w:left w:w="30" w:type="dxa"/>
              <w:bottom w:w="30" w:type="dxa"/>
              <w:right w:w="30" w:type="dxa"/>
            </w:tcMar>
            <w:vAlign w:val="center"/>
            <w:hideMark/>
          </w:tcPr>
          <w:p w14:paraId="08FAB27C" w14:textId="77777777" w:rsidR="000104A6" w:rsidRPr="000104A6" w:rsidRDefault="000104A6" w:rsidP="000104A6">
            <w:r w:rsidRPr="000104A6">
              <w:t>1/17</w:t>
            </w:r>
          </w:p>
        </w:tc>
        <w:tc>
          <w:tcPr>
            <w:tcW w:w="7895" w:type="dxa"/>
            <w:shd w:val="clear" w:color="auto" w:fill="FFFFFF"/>
            <w:tcMar>
              <w:top w:w="30" w:type="dxa"/>
              <w:left w:w="30" w:type="dxa"/>
              <w:bottom w:w="30" w:type="dxa"/>
              <w:right w:w="30" w:type="dxa"/>
            </w:tcMar>
            <w:vAlign w:val="center"/>
            <w:hideMark/>
          </w:tcPr>
          <w:p w14:paraId="149E00C3" w14:textId="77777777" w:rsidR="000104A6" w:rsidRPr="000104A6" w:rsidRDefault="000104A6" w:rsidP="000104A6">
            <w:r w:rsidRPr="000104A6">
              <w:t>§ 1: Introduction</w:t>
            </w:r>
          </w:p>
        </w:tc>
      </w:tr>
      <w:tr w:rsidR="000104A6" w:rsidRPr="000104A6" w14:paraId="0AA98B49" w14:textId="77777777" w:rsidTr="000104A6">
        <w:tc>
          <w:tcPr>
            <w:tcW w:w="1398" w:type="dxa"/>
            <w:shd w:val="clear" w:color="auto" w:fill="FFFFFF"/>
            <w:tcMar>
              <w:top w:w="30" w:type="dxa"/>
              <w:left w:w="30" w:type="dxa"/>
              <w:bottom w:w="30" w:type="dxa"/>
              <w:right w:w="30" w:type="dxa"/>
            </w:tcMar>
            <w:vAlign w:val="center"/>
            <w:hideMark/>
          </w:tcPr>
          <w:p w14:paraId="0A217D50" w14:textId="77777777" w:rsidR="000104A6" w:rsidRPr="000104A6" w:rsidRDefault="000104A6" w:rsidP="000104A6">
            <w:r w:rsidRPr="000104A6">
              <w:t>4</w:t>
            </w:r>
          </w:p>
        </w:tc>
        <w:tc>
          <w:tcPr>
            <w:tcW w:w="1787" w:type="dxa"/>
            <w:shd w:val="clear" w:color="auto" w:fill="FFFFFF"/>
            <w:tcMar>
              <w:top w:w="30" w:type="dxa"/>
              <w:left w:w="30" w:type="dxa"/>
              <w:bottom w:w="30" w:type="dxa"/>
              <w:right w:w="30" w:type="dxa"/>
            </w:tcMar>
            <w:vAlign w:val="center"/>
            <w:hideMark/>
          </w:tcPr>
          <w:p w14:paraId="41D12EBE" w14:textId="77777777" w:rsidR="000104A6" w:rsidRPr="000104A6" w:rsidRDefault="000104A6" w:rsidP="000104A6">
            <w:r w:rsidRPr="000104A6">
              <w:t>1/22</w:t>
            </w:r>
          </w:p>
        </w:tc>
        <w:tc>
          <w:tcPr>
            <w:tcW w:w="7895" w:type="dxa"/>
            <w:shd w:val="clear" w:color="auto" w:fill="FFFFFF"/>
            <w:tcMar>
              <w:top w:w="30" w:type="dxa"/>
              <w:left w:w="30" w:type="dxa"/>
              <w:bottom w:w="30" w:type="dxa"/>
              <w:right w:w="30" w:type="dxa"/>
            </w:tcMar>
            <w:vAlign w:val="center"/>
            <w:hideMark/>
          </w:tcPr>
          <w:p w14:paraId="10FB1035" w14:textId="77777777" w:rsidR="000104A6" w:rsidRPr="000104A6" w:rsidRDefault="000104A6" w:rsidP="000104A6">
            <w:r w:rsidRPr="000104A6">
              <w:t>§ 2: Interpretation of Data - §2.5: Regression Analysis</w:t>
            </w:r>
          </w:p>
        </w:tc>
      </w:tr>
      <w:tr w:rsidR="000104A6" w:rsidRPr="000104A6" w14:paraId="4AA1126F" w14:textId="77777777" w:rsidTr="000104A6">
        <w:tc>
          <w:tcPr>
            <w:tcW w:w="1398" w:type="dxa"/>
            <w:shd w:val="clear" w:color="auto" w:fill="FFFFFF"/>
            <w:tcMar>
              <w:top w:w="30" w:type="dxa"/>
              <w:left w:w="30" w:type="dxa"/>
              <w:bottom w:w="30" w:type="dxa"/>
              <w:right w:w="30" w:type="dxa"/>
            </w:tcMar>
            <w:vAlign w:val="center"/>
            <w:hideMark/>
          </w:tcPr>
          <w:p w14:paraId="255134AE" w14:textId="77777777" w:rsidR="000104A6" w:rsidRPr="000104A6" w:rsidRDefault="000104A6" w:rsidP="000104A6">
            <w:r w:rsidRPr="000104A6">
              <w:t>5</w:t>
            </w:r>
          </w:p>
        </w:tc>
        <w:tc>
          <w:tcPr>
            <w:tcW w:w="1787" w:type="dxa"/>
            <w:shd w:val="clear" w:color="auto" w:fill="FFFFFF"/>
            <w:tcMar>
              <w:top w:w="30" w:type="dxa"/>
              <w:left w:w="30" w:type="dxa"/>
              <w:bottom w:w="30" w:type="dxa"/>
              <w:right w:w="30" w:type="dxa"/>
            </w:tcMar>
            <w:vAlign w:val="center"/>
            <w:hideMark/>
          </w:tcPr>
          <w:p w14:paraId="375EC3CA" w14:textId="77777777" w:rsidR="000104A6" w:rsidRPr="000104A6" w:rsidRDefault="000104A6" w:rsidP="000104A6">
            <w:r w:rsidRPr="000104A6">
              <w:t>1/24</w:t>
            </w:r>
          </w:p>
        </w:tc>
        <w:tc>
          <w:tcPr>
            <w:tcW w:w="7895" w:type="dxa"/>
            <w:shd w:val="clear" w:color="auto" w:fill="FFFFFF"/>
            <w:tcMar>
              <w:top w:w="30" w:type="dxa"/>
              <w:left w:w="30" w:type="dxa"/>
              <w:bottom w:w="30" w:type="dxa"/>
              <w:right w:w="30" w:type="dxa"/>
            </w:tcMar>
            <w:vAlign w:val="center"/>
            <w:hideMark/>
          </w:tcPr>
          <w:p w14:paraId="4989E849" w14:textId="77777777" w:rsidR="000104A6" w:rsidRPr="000104A6" w:rsidRDefault="000104A6" w:rsidP="000104A6">
            <w:r w:rsidRPr="000104A6">
              <w:t>§ 2.5.1: Linear Model - § 2.5.3: Quadratic Model</w:t>
            </w:r>
          </w:p>
        </w:tc>
      </w:tr>
      <w:tr w:rsidR="000104A6" w:rsidRPr="000104A6" w14:paraId="7C58272C" w14:textId="77777777" w:rsidTr="000104A6">
        <w:tc>
          <w:tcPr>
            <w:tcW w:w="1398" w:type="dxa"/>
            <w:shd w:val="clear" w:color="auto" w:fill="FFFFFF"/>
            <w:tcMar>
              <w:top w:w="30" w:type="dxa"/>
              <w:left w:w="30" w:type="dxa"/>
              <w:bottom w:w="30" w:type="dxa"/>
              <w:right w:w="30" w:type="dxa"/>
            </w:tcMar>
            <w:vAlign w:val="center"/>
            <w:hideMark/>
          </w:tcPr>
          <w:p w14:paraId="204D04F7" w14:textId="77777777" w:rsidR="000104A6" w:rsidRPr="000104A6" w:rsidRDefault="000104A6" w:rsidP="000104A6">
            <w:r w:rsidRPr="000104A6">
              <w:t>6</w:t>
            </w:r>
          </w:p>
        </w:tc>
        <w:tc>
          <w:tcPr>
            <w:tcW w:w="1787" w:type="dxa"/>
            <w:shd w:val="clear" w:color="auto" w:fill="FFFFFF"/>
            <w:tcMar>
              <w:top w:w="30" w:type="dxa"/>
              <w:left w:w="30" w:type="dxa"/>
              <w:bottom w:w="30" w:type="dxa"/>
              <w:right w:w="30" w:type="dxa"/>
            </w:tcMar>
            <w:vAlign w:val="center"/>
            <w:hideMark/>
          </w:tcPr>
          <w:p w14:paraId="45C44D00" w14:textId="77777777" w:rsidR="000104A6" w:rsidRPr="000104A6" w:rsidRDefault="000104A6" w:rsidP="000104A6">
            <w:r w:rsidRPr="000104A6">
              <w:t>1/27</w:t>
            </w:r>
          </w:p>
        </w:tc>
        <w:tc>
          <w:tcPr>
            <w:tcW w:w="7895" w:type="dxa"/>
            <w:shd w:val="clear" w:color="auto" w:fill="FFFFFF"/>
            <w:tcMar>
              <w:top w:w="30" w:type="dxa"/>
              <w:left w:w="30" w:type="dxa"/>
              <w:bottom w:w="30" w:type="dxa"/>
              <w:right w:w="30" w:type="dxa"/>
            </w:tcMar>
            <w:vAlign w:val="center"/>
            <w:hideMark/>
          </w:tcPr>
          <w:p w14:paraId="16CAC79A" w14:textId="77777777" w:rsidR="000104A6" w:rsidRPr="000104A6" w:rsidRDefault="000104A6" w:rsidP="000104A6">
            <w:r w:rsidRPr="000104A6">
              <w:t>§ 2.5.4 Exponential Model - § 2.5.6: Double Exponential Model</w:t>
            </w:r>
          </w:p>
        </w:tc>
      </w:tr>
      <w:tr w:rsidR="000104A6" w:rsidRPr="000104A6" w14:paraId="51743FF9" w14:textId="77777777" w:rsidTr="000104A6">
        <w:tc>
          <w:tcPr>
            <w:tcW w:w="1398" w:type="dxa"/>
            <w:shd w:val="clear" w:color="auto" w:fill="FFFFFF"/>
            <w:tcMar>
              <w:top w:w="30" w:type="dxa"/>
              <w:left w:w="30" w:type="dxa"/>
              <w:bottom w:w="30" w:type="dxa"/>
              <w:right w:w="30" w:type="dxa"/>
            </w:tcMar>
            <w:vAlign w:val="center"/>
            <w:hideMark/>
          </w:tcPr>
          <w:p w14:paraId="5CE3C715" w14:textId="77777777" w:rsidR="000104A6" w:rsidRPr="000104A6" w:rsidRDefault="000104A6" w:rsidP="000104A6">
            <w:r w:rsidRPr="000104A6">
              <w:t>7</w:t>
            </w:r>
          </w:p>
        </w:tc>
        <w:tc>
          <w:tcPr>
            <w:tcW w:w="1787" w:type="dxa"/>
            <w:shd w:val="clear" w:color="auto" w:fill="FFFFFF"/>
            <w:tcMar>
              <w:top w:w="30" w:type="dxa"/>
              <w:left w:w="30" w:type="dxa"/>
              <w:bottom w:w="30" w:type="dxa"/>
              <w:right w:w="30" w:type="dxa"/>
            </w:tcMar>
            <w:vAlign w:val="center"/>
            <w:hideMark/>
          </w:tcPr>
          <w:p w14:paraId="29595376" w14:textId="77777777" w:rsidR="000104A6" w:rsidRPr="000104A6" w:rsidRDefault="000104A6" w:rsidP="000104A6">
            <w:r w:rsidRPr="000104A6">
              <w:t>1/29</w:t>
            </w:r>
          </w:p>
        </w:tc>
        <w:tc>
          <w:tcPr>
            <w:tcW w:w="7895" w:type="dxa"/>
            <w:shd w:val="clear" w:color="auto" w:fill="FFFFFF"/>
            <w:tcMar>
              <w:top w:w="30" w:type="dxa"/>
              <w:left w:w="30" w:type="dxa"/>
              <w:bottom w:w="30" w:type="dxa"/>
              <w:right w:w="30" w:type="dxa"/>
            </w:tcMar>
            <w:vAlign w:val="center"/>
            <w:hideMark/>
          </w:tcPr>
          <w:p w14:paraId="62E39FBF" w14:textId="77777777" w:rsidR="000104A6" w:rsidRPr="000104A6" w:rsidRDefault="000104A6" w:rsidP="000104A6">
            <w:r w:rsidRPr="000104A6">
              <w:t>§ 2.5.7: Power Law Model - § 2.5.10: Generalized Treatment</w:t>
            </w:r>
          </w:p>
        </w:tc>
      </w:tr>
      <w:tr w:rsidR="000104A6" w:rsidRPr="000104A6" w14:paraId="4421C05F" w14:textId="77777777" w:rsidTr="000104A6">
        <w:tc>
          <w:tcPr>
            <w:tcW w:w="1398" w:type="dxa"/>
            <w:shd w:val="clear" w:color="auto" w:fill="FFFFFF"/>
            <w:tcMar>
              <w:top w:w="30" w:type="dxa"/>
              <w:left w:w="30" w:type="dxa"/>
              <w:bottom w:w="30" w:type="dxa"/>
              <w:right w:w="30" w:type="dxa"/>
            </w:tcMar>
            <w:vAlign w:val="center"/>
            <w:hideMark/>
          </w:tcPr>
          <w:p w14:paraId="73C70846" w14:textId="77777777" w:rsidR="000104A6" w:rsidRPr="000104A6" w:rsidRDefault="000104A6" w:rsidP="000104A6">
            <w:r w:rsidRPr="000104A6">
              <w:t>8</w:t>
            </w:r>
          </w:p>
        </w:tc>
        <w:tc>
          <w:tcPr>
            <w:tcW w:w="1787" w:type="dxa"/>
            <w:shd w:val="clear" w:color="auto" w:fill="FFFFFF"/>
            <w:tcMar>
              <w:top w:w="30" w:type="dxa"/>
              <w:left w:w="30" w:type="dxa"/>
              <w:bottom w:w="30" w:type="dxa"/>
              <w:right w:w="30" w:type="dxa"/>
            </w:tcMar>
            <w:vAlign w:val="center"/>
            <w:hideMark/>
          </w:tcPr>
          <w:p w14:paraId="359556F2" w14:textId="77777777" w:rsidR="000104A6" w:rsidRPr="000104A6" w:rsidRDefault="000104A6" w:rsidP="000104A6">
            <w:r w:rsidRPr="000104A6">
              <w:t>1/31</w:t>
            </w:r>
          </w:p>
        </w:tc>
        <w:tc>
          <w:tcPr>
            <w:tcW w:w="7895" w:type="dxa"/>
            <w:shd w:val="clear" w:color="auto" w:fill="FFFFFF"/>
            <w:tcMar>
              <w:top w:w="30" w:type="dxa"/>
              <w:left w:w="30" w:type="dxa"/>
              <w:bottom w:w="30" w:type="dxa"/>
              <w:right w:w="30" w:type="dxa"/>
            </w:tcMar>
            <w:vAlign w:val="center"/>
            <w:hideMark/>
          </w:tcPr>
          <w:p w14:paraId="3D3562F2" w14:textId="77777777" w:rsidR="000104A6" w:rsidRPr="000104A6" w:rsidRDefault="000104A6" w:rsidP="000104A6">
            <w:r w:rsidRPr="000104A6">
              <w:t>§ 2.5.11: Standard Error - § 2.5.15: Maximum Likelihood Method</w:t>
            </w:r>
          </w:p>
        </w:tc>
      </w:tr>
      <w:tr w:rsidR="000104A6" w:rsidRPr="000104A6" w14:paraId="3BAAB9B3" w14:textId="77777777" w:rsidTr="000104A6">
        <w:tc>
          <w:tcPr>
            <w:tcW w:w="1398" w:type="dxa"/>
            <w:shd w:val="clear" w:color="auto" w:fill="FFFFFF"/>
            <w:tcMar>
              <w:top w:w="30" w:type="dxa"/>
              <w:left w:w="30" w:type="dxa"/>
              <w:bottom w:w="30" w:type="dxa"/>
              <w:right w:w="30" w:type="dxa"/>
            </w:tcMar>
            <w:vAlign w:val="center"/>
            <w:hideMark/>
          </w:tcPr>
          <w:p w14:paraId="5DDDC9E9" w14:textId="77777777" w:rsidR="000104A6" w:rsidRPr="000104A6" w:rsidRDefault="000104A6" w:rsidP="000104A6">
            <w:r w:rsidRPr="000104A6">
              <w:t>9</w:t>
            </w:r>
          </w:p>
        </w:tc>
        <w:tc>
          <w:tcPr>
            <w:tcW w:w="1787" w:type="dxa"/>
            <w:shd w:val="clear" w:color="auto" w:fill="FFFFFF"/>
            <w:tcMar>
              <w:top w:w="30" w:type="dxa"/>
              <w:left w:w="30" w:type="dxa"/>
              <w:bottom w:w="30" w:type="dxa"/>
              <w:right w:w="30" w:type="dxa"/>
            </w:tcMar>
            <w:vAlign w:val="center"/>
            <w:hideMark/>
          </w:tcPr>
          <w:p w14:paraId="2097E1D6" w14:textId="77777777" w:rsidR="000104A6" w:rsidRPr="000104A6" w:rsidRDefault="000104A6" w:rsidP="000104A6">
            <w:r w:rsidRPr="000104A6">
              <w:t>2/3</w:t>
            </w:r>
          </w:p>
        </w:tc>
        <w:tc>
          <w:tcPr>
            <w:tcW w:w="7895" w:type="dxa"/>
            <w:shd w:val="clear" w:color="auto" w:fill="FFFFFF"/>
            <w:tcMar>
              <w:top w:w="30" w:type="dxa"/>
              <w:left w:w="30" w:type="dxa"/>
              <w:bottom w:w="30" w:type="dxa"/>
              <w:right w:w="30" w:type="dxa"/>
            </w:tcMar>
            <w:vAlign w:val="center"/>
            <w:hideMark/>
          </w:tcPr>
          <w:p w14:paraId="7DBFA1AF" w14:textId="77777777" w:rsidR="000104A6" w:rsidRPr="000104A6" w:rsidRDefault="000104A6" w:rsidP="000104A6">
            <w:r w:rsidRPr="000104A6">
              <w:t>§ 2.6: Examples - § 2.6.2: Solute Transport</w:t>
            </w:r>
          </w:p>
        </w:tc>
      </w:tr>
      <w:tr w:rsidR="000104A6" w:rsidRPr="000104A6" w14:paraId="73B707F5" w14:textId="77777777" w:rsidTr="000104A6">
        <w:tc>
          <w:tcPr>
            <w:tcW w:w="1398" w:type="dxa"/>
            <w:shd w:val="clear" w:color="auto" w:fill="FFFFFF"/>
            <w:tcMar>
              <w:top w:w="30" w:type="dxa"/>
              <w:left w:w="30" w:type="dxa"/>
              <w:bottom w:w="30" w:type="dxa"/>
              <w:right w:w="30" w:type="dxa"/>
            </w:tcMar>
            <w:vAlign w:val="center"/>
            <w:hideMark/>
          </w:tcPr>
          <w:p w14:paraId="1FA2DD13" w14:textId="77777777" w:rsidR="000104A6" w:rsidRPr="000104A6" w:rsidRDefault="000104A6" w:rsidP="000104A6">
            <w:r w:rsidRPr="000104A6">
              <w:t>10</w:t>
            </w:r>
          </w:p>
        </w:tc>
        <w:tc>
          <w:tcPr>
            <w:tcW w:w="1787" w:type="dxa"/>
            <w:shd w:val="clear" w:color="auto" w:fill="FFFFFF"/>
            <w:tcMar>
              <w:top w:w="30" w:type="dxa"/>
              <w:left w:w="30" w:type="dxa"/>
              <w:bottom w:w="30" w:type="dxa"/>
              <w:right w:w="30" w:type="dxa"/>
            </w:tcMar>
            <w:vAlign w:val="center"/>
            <w:hideMark/>
          </w:tcPr>
          <w:p w14:paraId="4607DB99" w14:textId="77777777" w:rsidR="000104A6" w:rsidRPr="000104A6" w:rsidRDefault="000104A6" w:rsidP="000104A6">
            <w:r w:rsidRPr="000104A6">
              <w:t>2/5</w:t>
            </w:r>
          </w:p>
        </w:tc>
        <w:tc>
          <w:tcPr>
            <w:tcW w:w="7895" w:type="dxa"/>
            <w:shd w:val="clear" w:color="auto" w:fill="FFFFFF"/>
            <w:tcMar>
              <w:top w:w="30" w:type="dxa"/>
              <w:left w:w="30" w:type="dxa"/>
              <w:bottom w:w="30" w:type="dxa"/>
              <w:right w:w="30" w:type="dxa"/>
            </w:tcMar>
            <w:vAlign w:val="center"/>
            <w:hideMark/>
          </w:tcPr>
          <w:p w14:paraId="3680512D" w14:textId="77777777" w:rsidR="000104A6" w:rsidRPr="000104A6" w:rsidRDefault="000104A6" w:rsidP="000104A6">
            <w:r w:rsidRPr="000104A6">
              <w:t>§ 2.6.3: Briggs Haldane Model</w:t>
            </w:r>
          </w:p>
        </w:tc>
      </w:tr>
      <w:tr w:rsidR="000104A6" w:rsidRPr="000104A6" w14:paraId="5D5B656D" w14:textId="77777777" w:rsidTr="000104A6">
        <w:tc>
          <w:tcPr>
            <w:tcW w:w="1398" w:type="dxa"/>
            <w:shd w:val="clear" w:color="auto" w:fill="FFFFFF"/>
            <w:tcMar>
              <w:top w:w="30" w:type="dxa"/>
              <w:left w:w="30" w:type="dxa"/>
              <w:bottom w:w="30" w:type="dxa"/>
              <w:right w:w="30" w:type="dxa"/>
            </w:tcMar>
            <w:vAlign w:val="center"/>
            <w:hideMark/>
          </w:tcPr>
          <w:p w14:paraId="4FB92F53" w14:textId="77777777" w:rsidR="000104A6" w:rsidRPr="000104A6" w:rsidRDefault="000104A6" w:rsidP="000104A6">
            <w:r w:rsidRPr="000104A6">
              <w:t>11</w:t>
            </w:r>
          </w:p>
        </w:tc>
        <w:tc>
          <w:tcPr>
            <w:tcW w:w="1787" w:type="dxa"/>
            <w:shd w:val="clear" w:color="auto" w:fill="FFFFFF"/>
            <w:tcMar>
              <w:top w:w="30" w:type="dxa"/>
              <w:left w:w="30" w:type="dxa"/>
              <w:bottom w:w="30" w:type="dxa"/>
              <w:right w:w="30" w:type="dxa"/>
            </w:tcMar>
            <w:vAlign w:val="center"/>
            <w:hideMark/>
          </w:tcPr>
          <w:p w14:paraId="0E595D98" w14:textId="77777777" w:rsidR="000104A6" w:rsidRPr="000104A6" w:rsidRDefault="000104A6" w:rsidP="000104A6">
            <w:r w:rsidRPr="000104A6">
              <w:t>2/7</w:t>
            </w:r>
          </w:p>
        </w:tc>
        <w:tc>
          <w:tcPr>
            <w:tcW w:w="7895" w:type="dxa"/>
            <w:shd w:val="clear" w:color="auto" w:fill="FFFFFF"/>
            <w:tcMar>
              <w:top w:w="30" w:type="dxa"/>
              <w:left w:w="30" w:type="dxa"/>
              <w:bottom w:w="30" w:type="dxa"/>
              <w:right w:w="30" w:type="dxa"/>
            </w:tcMar>
            <w:vAlign w:val="center"/>
            <w:hideMark/>
          </w:tcPr>
          <w:p w14:paraId="15684CEA" w14:textId="77777777" w:rsidR="000104A6" w:rsidRPr="000104A6" w:rsidRDefault="000104A6" w:rsidP="000104A6">
            <w:r w:rsidRPr="000104A6">
              <w:t>§ 3.1: Malthus Model</w:t>
            </w:r>
          </w:p>
        </w:tc>
      </w:tr>
      <w:tr w:rsidR="000104A6" w:rsidRPr="000104A6" w14:paraId="3EB77E70" w14:textId="77777777" w:rsidTr="000104A6">
        <w:tc>
          <w:tcPr>
            <w:tcW w:w="1398" w:type="dxa"/>
            <w:shd w:val="clear" w:color="auto" w:fill="FFFFFF"/>
            <w:tcMar>
              <w:top w:w="30" w:type="dxa"/>
              <w:left w:w="30" w:type="dxa"/>
              <w:bottom w:w="30" w:type="dxa"/>
              <w:right w:w="30" w:type="dxa"/>
            </w:tcMar>
            <w:vAlign w:val="center"/>
            <w:hideMark/>
          </w:tcPr>
          <w:p w14:paraId="164EFE30" w14:textId="77777777" w:rsidR="000104A6" w:rsidRPr="000104A6" w:rsidRDefault="000104A6" w:rsidP="000104A6">
            <w:r w:rsidRPr="000104A6">
              <w:t>12</w:t>
            </w:r>
          </w:p>
        </w:tc>
        <w:tc>
          <w:tcPr>
            <w:tcW w:w="1787" w:type="dxa"/>
            <w:shd w:val="clear" w:color="auto" w:fill="FFFFFF"/>
            <w:tcMar>
              <w:top w:w="30" w:type="dxa"/>
              <w:left w:w="30" w:type="dxa"/>
              <w:bottom w:w="30" w:type="dxa"/>
              <w:right w:w="30" w:type="dxa"/>
            </w:tcMar>
            <w:vAlign w:val="center"/>
            <w:hideMark/>
          </w:tcPr>
          <w:p w14:paraId="6F7A2704" w14:textId="77777777" w:rsidR="000104A6" w:rsidRPr="000104A6" w:rsidRDefault="000104A6" w:rsidP="000104A6">
            <w:r w:rsidRPr="000104A6">
              <w:t>2/10</w:t>
            </w:r>
          </w:p>
        </w:tc>
        <w:tc>
          <w:tcPr>
            <w:tcW w:w="7895" w:type="dxa"/>
            <w:shd w:val="clear" w:color="auto" w:fill="FFFFFF"/>
            <w:tcMar>
              <w:top w:w="30" w:type="dxa"/>
              <w:left w:w="30" w:type="dxa"/>
              <w:bottom w:w="30" w:type="dxa"/>
              <w:right w:w="30" w:type="dxa"/>
            </w:tcMar>
            <w:vAlign w:val="center"/>
            <w:hideMark/>
          </w:tcPr>
          <w:p w14:paraId="3C37AB68" w14:textId="77777777" w:rsidR="000104A6" w:rsidRPr="000104A6" w:rsidRDefault="000104A6" w:rsidP="000104A6">
            <w:r w:rsidRPr="000104A6">
              <w:t>§ 3.2: Verhulst-Pearl Model - § 3.3: Lotka-</w:t>
            </w:r>
            <w:proofErr w:type="spellStart"/>
            <w:r w:rsidRPr="000104A6">
              <w:t>Voltera</w:t>
            </w:r>
            <w:proofErr w:type="spellEnd"/>
            <w:r w:rsidRPr="000104A6">
              <w:t xml:space="preserve"> Model</w:t>
            </w:r>
          </w:p>
        </w:tc>
      </w:tr>
      <w:tr w:rsidR="000104A6" w:rsidRPr="000104A6" w14:paraId="223BFFCE" w14:textId="77777777" w:rsidTr="000104A6">
        <w:tc>
          <w:tcPr>
            <w:tcW w:w="1398" w:type="dxa"/>
            <w:shd w:val="clear" w:color="auto" w:fill="FFFFFF"/>
            <w:tcMar>
              <w:top w:w="30" w:type="dxa"/>
              <w:left w:w="30" w:type="dxa"/>
              <w:bottom w:w="30" w:type="dxa"/>
              <w:right w:w="30" w:type="dxa"/>
            </w:tcMar>
            <w:vAlign w:val="center"/>
            <w:hideMark/>
          </w:tcPr>
          <w:p w14:paraId="207A575F" w14:textId="77777777" w:rsidR="000104A6" w:rsidRPr="000104A6" w:rsidRDefault="000104A6" w:rsidP="000104A6">
            <w:r w:rsidRPr="000104A6">
              <w:t>13</w:t>
            </w:r>
          </w:p>
        </w:tc>
        <w:tc>
          <w:tcPr>
            <w:tcW w:w="1787" w:type="dxa"/>
            <w:shd w:val="clear" w:color="auto" w:fill="FFFFFF"/>
            <w:tcMar>
              <w:top w:w="30" w:type="dxa"/>
              <w:left w:w="30" w:type="dxa"/>
              <w:bottom w:w="30" w:type="dxa"/>
              <w:right w:w="30" w:type="dxa"/>
            </w:tcMar>
            <w:vAlign w:val="center"/>
            <w:hideMark/>
          </w:tcPr>
          <w:p w14:paraId="10769255" w14:textId="77777777" w:rsidR="000104A6" w:rsidRPr="000104A6" w:rsidRDefault="000104A6" w:rsidP="000104A6">
            <w:r w:rsidRPr="000104A6">
              <w:t>2/12</w:t>
            </w:r>
          </w:p>
        </w:tc>
        <w:tc>
          <w:tcPr>
            <w:tcW w:w="7895" w:type="dxa"/>
            <w:shd w:val="clear" w:color="auto" w:fill="FFFFFF"/>
            <w:tcMar>
              <w:top w:w="30" w:type="dxa"/>
              <w:left w:w="30" w:type="dxa"/>
              <w:bottom w:w="30" w:type="dxa"/>
              <w:right w:w="30" w:type="dxa"/>
            </w:tcMar>
            <w:vAlign w:val="center"/>
            <w:hideMark/>
          </w:tcPr>
          <w:p w14:paraId="2FD890E9" w14:textId="77777777" w:rsidR="000104A6" w:rsidRPr="000104A6" w:rsidRDefault="000104A6" w:rsidP="000104A6">
            <w:r w:rsidRPr="000104A6">
              <w:t>§ 3.3.1: Phase Relationship - § 3.4: Matrix Models </w:t>
            </w:r>
            <w:r w:rsidRPr="000104A6">
              <w:rPr>
                <w:b/>
                <w:bCs/>
                <w:i/>
                <w:iCs/>
              </w:rPr>
              <w:t>*End of First Exam Material</w:t>
            </w:r>
          </w:p>
        </w:tc>
      </w:tr>
      <w:tr w:rsidR="000104A6" w:rsidRPr="000104A6" w14:paraId="07B999F7" w14:textId="77777777" w:rsidTr="000104A6">
        <w:tc>
          <w:tcPr>
            <w:tcW w:w="1398" w:type="dxa"/>
            <w:shd w:val="clear" w:color="auto" w:fill="FFFFFF"/>
            <w:tcMar>
              <w:top w:w="30" w:type="dxa"/>
              <w:left w:w="30" w:type="dxa"/>
              <w:bottom w:w="30" w:type="dxa"/>
              <w:right w:w="30" w:type="dxa"/>
            </w:tcMar>
            <w:vAlign w:val="center"/>
            <w:hideMark/>
          </w:tcPr>
          <w:p w14:paraId="72D14E69" w14:textId="77777777" w:rsidR="000104A6" w:rsidRPr="000104A6" w:rsidRDefault="000104A6" w:rsidP="000104A6">
            <w:r w:rsidRPr="000104A6">
              <w:t>14</w:t>
            </w:r>
          </w:p>
        </w:tc>
        <w:tc>
          <w:tcPr>
            <w:tcW w:w="1787" w:type="dxa"/>
            <w:shd w:val="clear" w:color="auto" w:fill="FFFFFF"/>
            <w:tcMar>
              <w:top w:w="30" w:type="dxa"/>
              <w:left w:w="30" w:type="dxa"/>
              <w:bottom w:w="30" w:type="dxa"/>
              <w:right w:w="30" w:type="dxa"/>
            </w:tcMar>
            <w:vAlign w:val="center"/>
            <w:hideMark/>
          </w:tcPr>
          <w:p w14:paraId="62BA0469" w14:textId="77777777" w:rsidR="000104A6" w:rsidRPr="000104A6" w:rsidRDefault="000104A6" w:rsidP="000104A6">
            <w:r w:rsidRPr="000104A6">
              <w:t>2/14</w:t>
            </w:r>
          </w:p>
        </w:tc>
        <w:tc>
          <w:tcPr>
            <w:tcW w:w="7895" w:type="dxa"/>
            <w:shd w:val="clear" w:color="auto" w:fill="FFFFFF"/>
            <w:tcMar>
              <w:top w:w="30" w:type="dxa"/>
              <w:left w:w="30" w:type="dxa"/>
              <w:bottom w:w="30" w:type="dxa"/>
              <w:right w:w="30" w:type="dxa"/>
            </w:tcMar>
            <w:vAlign w:val="center"/>
            <w:hideMark/>
          </w:tcPr>
          <w:p w14:paraId="15480A23" w14:textId="77777777" w:rsidR="000104A6" w:rsidRPr="000104A6" w:rsidRDefault="000104A6" w:rsidP="000104A6">
            <w:r w:rsidRPr="000104A6">
              <w:t>§ 4: Mathematics of Heat Transfer - § 4.4: Steady State</w:t>
            </w:r>
          </w:p>
        </w:tc>
      </w:tr>
      <w:tr w:rsidR="000104A6" w:rsidRPr="000104A6" w14:paraId="4E7C88DB" w14:textId="77777777" w:rsidTr="000104A6">
        <w:tc>
          <w:tcPr>
            <w:tcW w:w="1398" w:type="dxa"/>
            <w:shd w:val="clear" w:color="auto" w:fill="FFFFFF"/>
            <w:tcMar>
              <w:top w:w="30" w:type="dxa"/>
              <w:left w:w="30" w:type="dxa"/>
              <w:bottom w:w="30" w:type="dxa"/>
              <w:right w:w="30" w:type="dxa"/>
            </w:tcMar>
            <w:vAlign w:val="center"/>
            <w:hideMark/>
          </w:tcPr>
          <w:p w14:paraId="76544383" w14:textId="77777777" w:rsidR="000104A6" w:rsidRPr="000104A6" w:rsidRDefault="000104A6" w:rsidP="000104A6">
            <w:r w:rsidRPr="000104A6">
              <w:t>15</w:t>
            </w:r>
          </w:p>
        </w:tc>
        <w:tc>
          <w:tcPr>
            <w:tcW w:w="1787" w:type="dxa"/>
            <w:shd w:val="clear" w:color="auto" w:fill="FFFFFF"/>
            <w:tcMar>
              <w:top w:w="30" w:type="dxa"/>
              <w:left w:w="30" w:type="dxa"/>
              <w:bottom w:w="30" w:type="dxa"/>
              <w:right w:w="30" w:type="dxa"/>
            </w:tcMar>
            <w:vAlign w:val="center"/>
            <w:hideMark/>
          </w:tcPr>
          <w:p w14:paraId="19AEEDEE" w14:textId="77777777" w:rsidR="000104A6" w:rsidRPr="000104A6" w:rsidRDefault="000104A6" w:rsidP="000104A6">
            <w:r w:rsidRPr="000104A6">
              <w:t>2/17</w:t>
            </w:r>
          </w:p>
        </w:tc>
        <w:tc>
          <w:tcPr>
            <w:tcW w:w="7895" w:type="dxa"/>
            <w:shd w:val="clear" w:color="auto" w:fill="FFFFFF"/>
            <w:tcMar>
              <w:top w:w="30" w:type="dxa"/>
              <w:left w:w="30" w:type="dxa"/>
              <w:bottom w:w="30" w:type="dxa"/>
              <w:right w:w="30" w:type="dxa"/>
            </w:tcMar>
            <w:vAlign w:val="center"/>
            <w:hideMark/>
          </w:tcPr>
          <w:p w14:paraId="66EA8851" w14:textId="77777777" w:rsidR="000104A6" w:rsidRPr="000104A6" w:rsidRDefault="000104A6" w:rsidP="000104A6">
            <w:r w:rsidRPr="000104A6">
              <w:t>§ 4.5: Transient Solution - § 4.5.3: Cylindrical Coordinates</w:t>
            </w:r>
          </w:p>
        </w:tc>
      </w:tr>
      <w:tr w:rsidR="000104A6" w:rsidRPr="000104A6" w14:paraId="3790F37D" w14:textId="77777777" w:rsidTr="000104A6">
        <w:tc>
          <w:tcPr>
            <w:tcW w:w="1398" w:type="dxa"/>
            <w:shd w:val="clear" w:color="auto" w:fill="FFFFFF"/>
            <w:tcMar>
              <w:top w:w="30" w:type="dxa"/>
              <w:left w:w="30" w:type="dxa"/>
              <w:bottom w:w="30" w:type="dxa"/>
              <w:right w:w="30" w:type="dxa"/>
            </w:tcMar>
            <w:vAlign w:val="center"/>
            <w:hideMark/>
          </w:tcPr>
          <w:p w14:paraId="1A9B15F3" w14:textId="77777777" w:rsidR="000104A6" w:rsidRPr="000104A6" w:rsidRDefault="000104A6" w:rsidP="000104A6">
            <w:r w:rsidRPr="000104A6">
              <w:t>16</w:t>
            </w:r>
          </w:p>
        </w:tc>
        <w:tc>
          <w:tcPr>
            <w:tcW w:w="1787" w:type="dxa"/>
            <w:shd w:val="clear" w:color="auto" w:fill="FFFFFF"/>
            <w:tcMar>
              <w:top w:w="30" w:type="dxa"/>
              <w:left w:w="30" w:type="dxa"/>
              <w:bottom w:w="30" w:type="dxa"/>
              <w:right w:w="30" w:type="dxa"/>
            </w:tcMar>
            <w:vAlign w:val="center"/>
            <w:hideMark/>
          </w:tcPr>
          <w:p w14:paraId="4AA5BD54" w14:textId="77777777" w:rsidR="000104A6" w:rsidRPr="000104A6" w:rsidRDefault="000104A6" w:rsidP="000104A6">
            <w:r w:rsidRPr="000104A6">
              <w:t>2/19</w:t>
            </w:r>
          </w:p>
        </w:tc>
        <w:tc>
          <w:tcPr>
            <w:tcW w:w="7895" w:type="dxa"/>
            <w:shd w:val="clear" w:color="auto" w:fill="FFFFFF"/>
            <w:tcMar>
              <w:top w:w="30" w:type="dxa"/>
              <w:left w:w="30" w:type="dxa"/>
              <w:bottom w:w="30" w:type="dxa"/>
              <w:right w:w="30" w:type="dxa"/>
            </w:tcMar>
            <w:vAlign w:val="center"/>
            <w:hideMark/>
          </w:tcPr>
          <w:p w14:paraId="535D263E" w14:textId="77777777" w:rsidR="000104A6" w:rsidRPr="000104A6" w:rsidRDefault="000104A6" w:rsidP="000104A6">
            <w:r w:rsidRPr="000104A6">
              <w:t>§ 4.6: Application</w:t>
            </w:r>
          </w:p>
        </w:tc>
      </w:tr>
      <w:tr w:rsidR="000104A6" w:rsidRPr="000104A6" w14:paraId="64BA3628" w14:textId="77777777" w:rsidTr="000104A6">
        <w:tc>
          <w:tcPr>
            <w:tcW w:w="1398" w:type="dxa"/>
            <w:shd w:val="clear" w:color="auto" w:fill="FFFFFF"/>
            <w:tcMar>
              <w:top w:w="30" w:type="dxa"/>
              <w:left w:w="30" w:type="dxa"/>
              <w:bottom w:w="30" w:type="dxa"/>
              <w:right w:w="30" w:type="dxa"/>
            </w:tcMar>
            <w:vAlign w:val="center"/>
            <w:hideMark/>
          </w:tcPr>
          <w:p w14:paraId="4ED9C984" w14:textId="77777777" w:rsidR="000104A6" w:rsidRPr="000104A6" w:rsidRDefault="000104A6" w:rsidP="000104A6">
            <w:r w:rsidRPr="000104A6">
              <w:t>17</w:t>
            </w:r>
          </w:p>
        </w:tc>
        <w:tc>
          <w:tcPr>
            <w:tcW w:w="1787" w:type="dxa"/>
            <w:shd w:val="clear" w:color="auto" w:fill="FFFFFF"/>
            <w:tcMar>
              <w:top w:w="30" w:type="dxa"/>
              <w:left w:w="30" w:type="dxa"/>
              <w:bottom w:w="30" w:type="dxa"/>
              <w:right w:w="30" w:type="dxa"/>
            </w:tcMar>
            <w:vAlign w:val="center"/>
            <w:hideMark/>
          </w:tcPr>
          <w:p w14:paraId="1414B542" w14:textId="77777777" w:rsidR="000104A6" w:rsidRPr="000104A6" w:rsidRDefault="000104A6" w:rsidP="000104A6">
            <w:r w:rsidRPr="000104A6">
              <w:t>2/21</w:t>
            </w:r>
          </w:p>
        </w:tc>
        <w:tc>
          <w:tcPr>
            <w:tcW w:w="7895" w:type="dxa"/>
            <w:shd w:val="clear" w:color="auto" w:fill="FFFFFF"/>
            <w:tcMar>
              <w:top w:w="30" w:type="dxa"/>
              <w:left w:w="30" w:type="dxa"/>
              <w:bottom w:w="30" w:type="dxa"/>
              <w:right w:w="30" w:type="dxa"/>
            </w:tcMar>
            <w:vAlign w:val="center"/>
            <w:hideMark/>
          </w:tcPr>
          <w:p w14:paraId="797A5274" w14:textId="77777777" w:rsidR="000104A6" w:rsidRPr="000104A6" w:rsidRDefault="000104A6" w:rsidP="000104A6">
            <w:r w:rsidRPr="000104A6">
              <w:t>§ 5: Integral Transforms - § 5.7.1: Continuous Stirred Reactor</w:t>
            </w:r>
          </w:p>
        </w:tc>
      </w:tr>
      <w:tr w:rsidR="000104A6" w:rsidRPr="000104A6" w14:paraId="2610C04A" w14:textId="77777777" w:rsidTr="000104A6">
        <w:tc>
          <w:tcPr>
            <w:tcW w:w="1398" w:type="dxa"/>
            <w:shd w:val="clear" w:color="auto" w:fill="FFFFFF"/>
            <w:tcMar>
              <w:top w:w="30" w:type="dxa"/>
              <w:left w:w="30" w:type="dxa"/>
              <w:bottom w:w="30" w:type="dxa"/>
              <w:right w:w="30" w:type="dxa"/>
            </w:tcMar>
            <w:vAlign w:val="center"/>
            <w:hideMark/>
          </w:tcPr>
          <w:p w14:paraId="56BC8CD9" w14:textId="77777777" w:rsidR="000104A6" w:rsidRPr="000104A6" w:rsidRDefault="000104A6" w:rsidP="000104A6">
            <w:r w:rsidRPr="000104A6">
              <w:t>18</w:t>
            </w:r>
          </w:p>
        </w:tc>
        <w:tc>
          <w:tcPr>
            <w:tcW w:w="1787" w:type="dxa"/>
            <w:shd w:val="clear" w:color="auto" w:fill="FFFFFF"/>
            <w:tcMar>
              <w:top w:w="30" w:type="dxa"/>
              <w:left w:w="30" w:type="dxa"/>
              <w:bottom w:w="30" w:type="dxa"/>
              <w:right w:w="30" w:type="dxa"/>
            </w:tcMar>
            <w:vAlign w:val="center"/>
            <w:hideMark/>
          </w:tcPr>
          <w:p w14:paraId="1A744563" w14:textId="77777777" w:rsidR="000104A6" w:rsidRPr="000104A6" w:rsidRDefault="000104A6" w:rsidP="000104A6">
            <w:r w:rsidRPr="000104A6">
              <w:t>2/24</w:t>
            </w:r>
          </w:p>
        </w:tc>
        <w:tc>
          <w:tcPr>
            <w:tcW w:w="7895" w:type="dxa"/>
            <w:shd w:val="clear" w:color="auto" w:fill="FFFFFF"/>
            <w:tcMar>
              <w:top w:w="30" w:type="dxa"/>
              <w:left w:w="30" w:type="dxa"/>
              <w:bottom w:w="30" w:type="dxa"/>
              <w:right w:w="30" w:type="dxa"/>
            </w:tcMar>
            <w:vAlign w:val="center"/>
            <w:hideMark/>
          </w:tcPr>
          <w:p w14:paraId="7996B7A9" w14:textId="77777777" w:rsidR="000104A6" w:rsidRPr="000104A6" w:rsidRDefault="000104A6" w:rsidP="000104A6">
            <w:r w:rsidRPr="000104A6">
              <w:t>§ 5.7.2: Series Continuous Stirred Reactors - § 5.7.5: Spring and Damper with Step Input </w:t>
            </w:r>
            <w:r w:rsidRPr="000104A6">
              <w:rPr>
                <w:b/>
                <w:bCs/>
              </w:rPr>
              <w:t>Examination I</w:t>
            </w:r>
          </w:p>
        </w:tc>
      </w:tr>
      <w:tr w:rsidR="000104A6" w:rsidRPr="000104A6" w14:paraId="7CD198F1" w14:textId="77777777" w:rsidTr="000104A6">
        <w:tc>
          <w:tcPr>
            <w:tcW w:w="1398" w:type="dxa"/>
            <w:shd w:val="clear" w:color="auto" w:fill="FFFFFF"/>
            <w:tcMar>
              <w:top w:w="30" w:type="dxa"/>
              <w:left w:w="30" w:type="dxa"/>
              <w:bottom w:w="30" w:type="dxa"/>
              <w:right w:w="30" w:type="dxa"/>
            </w:tcMar>
            <w:vAlign w:val="center"/>
            <w:hideMark/>
          </w:tcPr>
          <w:p w14:paraId="6BAD8DF4" w14:textId="77777777" w:rsidR="000104A6" w:rsidRPr="000104A6" w:rsidRDefault="000104A6" w:rsidP="000104A6">
            <w:r w:rsidRPr="000104A6">
              <w:t>19</w:t>
            </w:r>
          </w:p>
        </w:tc>
        <w:tc>
          <w:tcPr>
            <w:tcW w:w="1787" w:type="dxa"/>
            <w:shd w:val="clear" w:color="auto" w:fill="FFFFFF"/>
            <w:tcMar>
              <w:top w:w="30" w:type="dxa"/>
              <w:left w:w="30" w:type="dxa"/>
              <w:bottom w:w="30" w:type="dxa"/>
              <w:right w:w="30" w:type="dxa"/>
            </w:tcMar>
            <w:vAlign w:val="center"/>
            <w:hideMark/>
          </w:tcPr>
          <w:p w14:paraId="7C2BB6E2" w14:textId="77777777" w:rsidR="000104A6" w:rsidRPr="000104A6" w:rsidRDefault="000104A6" w:rsidP="000104A6">
            <w:r w:rsidRPr="000104A6">
              <w:t>2/26</w:t>
            </w:r>
          </w:p>
        </w:tc>
        <w:tc>
          <w:tcPr>
            <w:tcW w:w="7895" w:type="dxa"/>
            <w:shd w:val="clear" w:color="auto" w:fill="FFFFFF"/>
            <w:tcMar>
              <w:top w:w="30" w:type="dxa"/>
              <w:left w:w="30" w:type="dxa"/>
              <w:bottom w:w="30" w:type="dxa"/>
              <w:right w:w="30" w:type="dxa"/>
            </w:tcMar>
            <w:vAlign w:val="center"/>
            <w:hideMark/>
          </w:tcPr>
          <w:p w14:paraId="3413F603" w14:textId="77777777" w:rsidR="000104A6" w:rsidRPr="000104A6" w:rsidRDefault="000104A6" w:rsidP="000104A6">
            <w:r w:rsidRPr="000104A6">
              <w:t>§ 5.7.6: Spring and Damper with a Temporary Force - § 5.7.9: Free Damped Motion</w:t>
            </w:r>
          </w:p>
        </w:tc>
      </w:tr>
      <w:tr w:rsidR="000104A6" w:rsidRPr="000104A6" w14:paraId="2DC98860" w14:textId="77777777" w:rsidTr="000104A6">
        <w:tc>
          <w:tcPr>
            <w:tcW w:w="1398" w:type="dxa"/>
            <w:shd w:val="clear" w:color="auto" w:fill="FFFFFF"/>
            <w:tcMar>
              <w:top w:w="30" w:type="dxa"/>
              <w:left w:w="30" w:type="dxa"/>
              <w:bottom w:w="30" w:type="dxa"/>
              <w:right w:w="30" w:type="dxa"/>
            </w:tcMar>
            <w:vAlign w:val="center"/>
            <w:hideMark/>
          </w:tcPr>
          <w:p w14:paraId="0FE55D2D" w14:textId="77777777" w:rsidR="000104A6" w:rsidRPr="000104A6" w:rsidRDefault="000104A6" w:rsidP="000104A6">
            <w:r w:rsidRPr="000104A6">
              <w:t>20</w:t>
            </w:r>
          </w:p>
        </w:tc>
        <w:tc>
          <w:tcPr>
            <w:tcW w:w="1787" w:type="dxa"/>
            <w:shd w:val="clear" w:color="auto" w:fill="FFFFFF"/>
            <w:tcMar>
              <w:top w:w="30" w:type="dxa"/>
              <w:left w:w="30" w:type="dxa"/>
              <w:bottom w:w="30" w:type="dxa"/>
              <w:right w:w="30" w:type="dxa"/>
            </w:tcMar>
            <w:vAlign w:val="center"/>
            <w:hideMark/>
          </w:tcPr>
          <w:p w14:paraId="6D343221" w14:textId="77777777" w:rsidR="000104A6" w:rsidRPr="000104A6" w:rsidRDefault="000104A6" w:rsidP="000104A6">
            <w:r w:rsidRPr="000104A6">
              <w:t>2/28</w:t>
            </w:r>
          </w:p>
        </w:tc>
        <w:tc>
          <w:tcPr>
            <w:tcW w:w="7895" w:type="dxa"/>
            <w:shd w:val="clear" w:color="auto" w:fill="FFFFFF"/>
            <w:tcMar>
              <w:top w:w="30" w:type="dxa"/>
              <w:left w:w="30" w:type="dxa"/>
              <w:bottom w:w="30" w:type="dxa"/>
              <w:right w:w="30" w:type="dxa"/>
            </w:tcMar>
            <w:vAlign w:val="center"/>
            <w:hideMark/>
          </w:tcPr>
          <w:p w14:paraId="06741154" w14:textId="77777777" w:rsidR="000104A6" w:rsidRPr="000104A6" w:rsidRDefault="000104A6" w:rsidP="000104A6">
            <w:r w:rsidRPr="000104A6">
              <w:t>§ 5.7.10: Simultaneous Ordinary Differential Equations - § 5.9.2: Convective Transport with Chemical Reaction</w:t>
            </w:r>
          </w:p>
        </w:tc>
      </w:tr>
      <w:tr w:rsidR="000104A6" w:rsidRPr="000104A6" w14:paraId="4131D3AC" w14:textId="77777777" w:rsidTr="000104A6">
        <w:tc>
          <w:tcPr>
            <w:tcW w:w="1398" w:type="dxa"/>
            <w:shd w:val="clear" w:color="auto" w:fill="FFFFFF"/>
            <w:tcMar>
              <w:top w:w="30" w:type="dxa"/>
              <w:left w:w="30" w:type="dxa"/>
              <w:bottom w:w="30" w:type="dxa"/>
              <w:right w:w="30" w:type="dxa"/>
            </w:tcMar>
            <w:vAlign w:val="center"/>
            <w:hideMark/>
          </w:tcPr>
          <w:p w14:paraId="2781A1F2" w14:textId="77777777" w:rsidR="000104A6" w:rsidRPr="000104A6" w:rsidRDefault="000104A6" w:rsidP="000104A6">
            <w:r w:rsidRPr="000104A6">
              <w:lastRenderedPageBreak/>
              <w:t>21</w:t>
            </w:r>
          </w:p>
        </w:tc>
        <w:tc>
          <w:tcPr>
            <w:tcW w:w="1787" w:type="dxa"/>
            <w:shd w:val="clear" w:color="auto" w:fill="FFFFFF"/>
            <w:tcMar>
              <w:top w:w="30" w:type="dxa"/>
              <w:left w:w="30" w:type="dxa"/>
              <w:bottom w:w="30" w:type="dxa"/>
              <w:right w:w="30" w:type="dxa"/>
            </w:tcMar>
            <w:vAlign w:val="center"/>
            <w:hideMark/>
          </w:tcPr>
          <w:p w14:paraId="332E76F0" w14:textId="77777777" w:rsidR="000104A6" w:rsidRPr="000104A6" w:rsidRDefault="000104A6" w:rsidP="000104A6">
            <w:r w:rsidRPr="000104A6">
              <w:t>3/3</w:t>
            </w:r>
          </w:p>
        </w:tc>
        <w:tc>
          <w:tcPr>
            <w:tcW w:w="7895" w:type="dxa"/>
            <w:shd w:val="clear" w:color="auto" w:fill="FFFFFF"/>
            <w:tcMar>
              <w:top w:w="30" w:type="dxa"/>
              <w:left w:w="30" w:type="dxa"/>
              <w:bottom w:w="30" w:type="dxa"/>
              <w:right w:w="30" w:type="dxa"/>
            </w:tcMar>
            <w:vAlign w:val="center"/>
            <w:hideMark/>
          </w:tcPr>
          <w:p w14:paraId="1895AD9B" w14:textId="77777777" w:rsidR="000104A6" w:rsidRPr="000104A6" w:rsidRDefault="000104A6" w:rsidP="000104A6">
            <w:r w:rsidRPr="000104A6">
              <w:t>§ 5.9.3: Chemical Transport with Dispersion, Convection, and Reaction - § 5.9.4: Chemical Transport with Heterogeneous Kinetics</w:t>
            </w:r>
          </w:p>
        </w:tc>
      </w:tr>
      <w:tr w:rsidR="000104A6" w:rsidRPr="000104A6" w14:paraId="6AA32B43" w14:textId="77777777" w:rsidTr="000104A6">
        <w:tc>
          <w:tcPr>
            <w:tcW w:w="1398" w:type="dxa"/>
            <w:shd w:val="clear" w:color="auto" w:fill="FFFFFF"/>
            <w:tcMar>
              <w:top w:w="30" w:type="dxa"/>
              <w:left w:w="30" w:type="dxa"/>
              <w:bottom w:w="30" w:type="dxa"/>
              <w:right w:w="30" w:type="dxa"/>
            </w:tcMar>
            <w:vAlign w:val="center"/>
            <w:hideMark/>
          </w:tcPr>
          <w:p w14:paraId="2F924873" w14:textId="77777777" w:rsidR="000104A6" w:rsidRPr="000104A6" w:rsidRDefault="000104A6" w:rsidP="000104A6">
            <w:r w:rsidRPr="000104A6">
              <w:t>22</w:t>
            </w:r>
          </w:p>
        </w:tc>
        <w:tc>
          <w:tcPr>
            <w:tcW w:w="1787" w:type="dxa"/>
            <w:shd w:val="clear" w:color="auto" w:fill="FFFFFF"/>
            <w:tcMar>
              <w:top w:w="30" w:type="dxa"/>
              <w:left w:w="30" w:type="dxa"/>
              <w:bottom w:w="30" w:type="dxa"/>
              <w:right w:w="30" w:type="dxa"/>
            </w:tcMar>
            <w:vAlign w:val="center"/>
            <w:hideMark/>
          </w:tcPr>
          <w:p w14:paraId="19F22AE3" w14:textId="77777777" w:rsidR="000104A6" w:rsidRPr="000104A6" w:rsidRDefault="000104A6" w:rsidP="000104A6">
            <w:r w:rsidRPr="000104A6">
              <w:t>3/5</w:t>
            </w:r>
          </w:p>
        </w:tc>
        <w:tc>
          <w:tcPr>
            <w:tcW w:w="7895" w:type="dxa"/>
            <w:shd w:val="clear" w:color="auto" w:fill="FFFFFF"/>
            <w:tcMar>
              <w:top w:w="30" w:type="dxa"/>
              <w:left w:w="30" w:type="dxa"/>
              <w:bottom w:w="30" w:type="dxa"/>
              <w:right w:w="30" w:type="dxa"/>
            </w:tcMar>
            <w:vAlign w:val="center"/>
            <w:hideMark/>
          </w:tcPr>
          <w:p w14:paraId="7A640866" w14:textId="77777777" w:rsidR="000104A6" w:rsidRPr="000104A6" w:rsidRDefault="000104A6" w:rsidP="000104A6">
            <w:r w:rsidRPr="000104A6">
              <w:t>§ 5.9.5: Process Analysis of Overland Flow Treatment of Wastewater - § 5.9.7: Chemical Transport Across a Porous Membrane</w:t>
            </w:r>
          </w:p>
        </w:tc>
      </w:tr>
      <w:tr w:rsidR="000104A6" w:rsidRPr="000104A6" w14:paraId="42AA1644" w14:textId="77777777" w:rsidTr="000104A6">
        <w:tc>
          <w:tcPr>
            <w:tcW w:w="1398" w:type="dxa"/>
            <w:shd w:val="clear" w:color="auto" w:fill="FFFFFF"/>
            <w:tcMar>
              <w:top w:w="30" w:type="dxa"/>
              <w:left w:w="30" w:type="dxa"/>
              <w:bottom w:w="30" w:type="dxa"/>
              <w:right w:w="30" w:type="dxa"/>
            </w:tcMar>
            <w:vAlign w:val="center"/>
            <w:hideMark/>
          </w:tcPr>
          <w:p w14:paraId="10BF8D13" w14:textId="77777777" w:rsidR="000104A6" w:rsidRPr="000104A6" w:rsidRDefault="000104A6" w:rsidP="000104A6">
            <w:r w:rsidRPr="000104A6">
              <w:t>23</w:t>
            </w:r>
          </w:p>
        </w:tc>
        <w:tc>
          <w:tcPr>
            <w:tcW w:w="1787" w:type="dxa"/>
            <w:shd w:val="clear" w:color="auto" w:fill="FFFFFF"/>
            <w:tcMar>
              <w:top w:w="30" w:type="dxa"/>
              <w:left w:w="30" w:type="dxa"/>
              <w:bottom w:w="30" w:type="dxa"/>
              <w:right w:w="30" w:type="dxa"/>
            </w:tcMar>
            <w:vAlign w:val="center"/>
            <w:hideMark/>
          </w:tcPr>
          <w:p w14:paraId="1F93BC50" w14:textId="77777777" w:rsidR="000104A6" w:rsidRPr="000104A6" w:rsidRDefault="000104A6" w:rsidP="000104A6">
            <w:r w:rsidRPr="000104A6">
              <w:t>3/7</w:t>
            </w:r>
          </w:p>
        </w:tc>
        <w:tc>
          <w:tcPr>
            <w:tcW w:w="7895" w:type="dxa"/>
            <w:shd w:val="clear" w:color="auto" w:fill="FFFFFF"/>
            <w:tcMar>
              <w:top w:w="30" w:type="dxa"/>
              <w:left w:w="30" w:type="dxa"/>
              <w:bottom w:w="30" w:type="dxa"/>
              <w:right w:w="30" w:type="dxa"/>
            </w:tcMar>
            <w:vAlign w:val="center"/>
            <w:hideMark/>
          </w:tcPr>
          <w:p w14:paraId="01AC1B90" w14:textId="77777777" w:rsidR="000104A6" w:rsidRPr="000104A6" w:rsidRDefault="000104A6" w:rsidP="000104A6">
            <w:r w:rsidRPr="000104A6">
              <w:t xml:space="preserve">§ 5.10: Fourier Transforms </w:t>
            </w:r>
            <w:proofErr w:type="gramStart"/>
            <w:r w:rsidRPr="000104A6">
              <w:t>-  §</w:t>
            </w:r>
            <w:proofErr w:type="gramEnd"/>
            <w:r w:rsidRPr="000104A6">
              <w:t xml:space="preserve"> 5.12: Applications:  Part 3</w:t>
            </w:r>
          </w:p>
        </w:tc>
      </w:tr>
      <w:tr w:rsidR="000104A6" w:rsidRPr="000104A6" w14:paraId="3AA74877" w14:textId="77777777" w:rsidTr="000104A6">
        <w:tc>
          <w:tcPr>
            <w:tcW w:w="1398" w:type="dxa"/>
            <w:shd w:val="clear" w:color="auto" w:fill="FFFFFF"/>
            <w:tcMar>
              <w:top w:w="30" w:type="dxa"/>
              <w:left w:w="30" w:type="dxa"/>
              <w:bottom w:w="30" w:type="dxa"/>
              <w:right w:w="30" w:type="dxa"/>
            </w:tcMar>
            <w:vAlign w:val="center"/>
            <w:hideMark/>
          </w:tcPr>
          <w:p w14:paraId="1224F5F7" w14:textId="77777777" w:rsidR="000104A6" w:rsidRPr="000104A6" w:rsidRDefault="000104A6" w:rsidP="000104A6">
            <w:r w:rsidRPr="000104A6">
              <w:t>24</w:t>
            </w:r>
          </w:p>
        </w:tc>
        <w:tc>
          <w:tcPr>
            <w:tcW w:w="1787" w:type="dxa"/>
            <w:shd w:val="clear" w:color="auto" w:fill="FFFFFF"/>
            <w:tcMar>
              <w:top w:w="30" w:type="dxa"/>
              <w:left w:w="30" w:type="dxa"/>
              <w:bottom w:w="30" w:type="dxa"/>
              <w:right w:w="30" w:type="dxa"/>
            </w:tcMar>
            <w:vAlign w:val="center"/>
            <w:hideMark/>
          </w:tcPr>
          <w:p w14:paraId="2EFCC53F" w14:textId="77777777" w:rsidR="000104A6" w:rsidRPr="000104A6" w:rsidRDefault="000104A6" w:rsidP="000104A6">
            <w:r w:rsidRPr="000104A6">
              <w:t>3/10</w:t>
            </w:r>
          </w:p>
        </w:tc>
        <w:tc>
          <w:tcPr>
            <w:tcW w:w="7895" w:type="dxa"/>
            <w:shd w:val="clear" w:color="auto" w:fill="FFFFFF"/>
            <w:tcMar>
              <w:top w:w="30" w:type="dxa"/>
              <w:left w:w="30" w:type="dxa"/>
              <w:bottom w:w="30" w:type="dxa"/>
              <w:right w:w="30" w:type="dxa"/>
            </w:tcMar>
            <w:vAlign w:val="center"/>
            <w:hideMark/>
          </w:tcPr>
          <w:p w14:paraId="3227C46D" w14:textId="77777777" w:rsidR="000104A6" w:rsidRPr="000104A6" w:rsidRDefault="000104A6" w:rsidP="000104A6">
            <w:r w:rsidRPr="000104A6">
              <w:t xml:space="preserve">§ 5.13: Inverse Laplace Transforms by Integration </w:t>
            </w:r>
            <w:proofErr w:type="gramStart"/>
            <w:r w:rsidRPr="000104A6">
              <w:t>in</w:t>
            </w:r>
            <w:proofErr w:type="gramEnd"/>
            <w:r w:rsidRPr="000104A6">
              <w:t xml:space="preserve"> a Complex Plane</w:t>
            </w:r>
          </w:p>
        </w:tc>
      </w:tr>
      <w:tr w:rsidR="000104A6" w:rsidRPr="000104A6" w14:paraId="2FCFB04C" w14:textId="77777777" w:rsidTr="000104A6">
        <w:tc>
          <w:tcPr>
            <w:tcW w:w="1398" w:type="dxa"/>
            <w:shd w:val="clear" w:color="auto" w:fill="FFFFFF"/>
            <w:tcMar>
              <w:top w:w="30" w:type="dxa"/>
              <w:left w:w="30" w:type="dxa"/>
              <w:bottom w:w="30" w:type="dxa"/>
              <w:right w:w="30" w:type="dxa"/>
            </w:tcMar>
            <w:vAlign w:val="center"/>
            <w:hideMark/>
          </w:tcPr>
          <w:p w14:paraId="3E93BFEB" w14:textId="77777777" w:rsidR="000104A6" w:rsidRPr="000104A6" w:rsidRDefault="000104A6" w:rsidP="000104A6">
            <w:r w:rsidRPr="000104A6">
              <w:t>25</w:t>
            </w:r>
          </w:p>
        </w:tc>
        <w:tc>
          <w:tcPr>
            <w:tcW w:w="1787" w:type="dxa"/>
            <w:shd w:val="clear" w:color="auto" w:fill="FFFFFF"/>
            <w:tcMar>
              <w:top w:w="30" w:type="dxa"/>
              <w:left w:w="30" w:type="dxa"/>
              <w:bottom w:w="30" w:type="dxa"/>
              <w:right w:w="30" w:type="dxa"/>
            </w:tcMar>
            <w:vAlign w:val="center"/>
            <w:hideMark/>
          </w:tcPr>
          <w:p w14:paraId="4536672C" w14:textId="77777777" w:rsidR="000104A6" w:rsidRPr="000104A6" w:rsidRDefault="000104A6" w:rsidP="000104A6">
            <w:r w:rsidRPr="000104A6">
              <w:t>3/12</w:t>
            </w:r>
          </w:p>
        </w:tc>
        <w:tc>
          <w:tcPr>
            <w:tcW w:w="7895" w:type="dxa"/>
            <w:shd w:val="clear" w:color="auto" w:fill="FFFFFF"/>
            <w:tcMar>
              <w:top w:w="30" w:type="dxa"/>
              <w:left w:w="30" w:type="dxa"/>
              <w:bottom w:w="30" w:type="dxa"/>
              <w:right w:w="30" w:type="dxa"/>
            </w:tcMar>
            <w:vAlign w:val="center"/>
            <w:hideMark/>
          </w:tcPr>
          <w:p w14:paraId="5320E3CA" w14:textId="77777777" w:rsidR="000104A6" w:rsidRPr="000104A6" w:rsidRDefault="000104A6" w:rsidP="000104A6">
            <w:r w:rsidRPr="000104A6">
              <w:t>§ 5.14: Applications</w:t>
            </w:r>
            <w:proofErr w:type="gramStart"/>
            <w:r w:rsidRPr="000104A6">
              <w:t>:  Part</w:t>
            </w:r>
            <w:proofErr w:type="gramEnd"/>
            <w:r w:rsidRPr="000104A6">
              <w:t xml:space="preserve"> 4 - § 5.14.1: Overland Flow Treatment of Wastewater</w:t>
            </w:r>
          </w:p>
        </w:tc>
      </w:tr>
      <w:tr w:rsidR="000104A6" w:rsidRPr="000104A6" w14:paraId="6C83A6A4" w14:textId="77777777" w:rsidTr="000104A6">
        <w:tc>
          <w:tcPr>
            <w:tcW w:w="1398" w:type="dxa"/>
            <w:shd w:val="clear" w:color="auto" w:fill="FFFFFF"/>
            <w:tcMar>
              <w:top w:w="30" w:type="dxa"/>
              <w:left w:w="30" w:type="dxa"/>
              <w:bottom w:w="30" w:type="dxa"/>
              <w:right w:w="30" w:type="dxa"/>
            </w:tcMar>
            <w:vAlign w:val="center"/>
            <w:hideMark/>
          </w:tcPr>
          <w:p w14:paraId="4DAB2D5F" w14:textId="77777777" w:rsidR="000104A6" w:rsidRPr="000104A6" w:rsidRDefault="000104A6" w:rsidP="000104A6">
            <w:r w:rsidRPr="000104A6">
              <w:t>26</w:t>
            </w:r>
          </w:p>
        </w:tc>
        <w:tc>
          <w:tcPr>
            <w:tcW w:w="1787" w:type="dxa"/>
            <w:shd w:val="clear" w:color="auto" w:fill="FFFFFF"/>
            <w:tcMar>
              <w:top w:w="30" w:type="dxa"/>
              <w:left w:w="30" w:type="dxa"/>
              <w:bottom w:w="30" w:type="dxa"/>
              <w:right w:w="30" w:type="dxa"/>
            </w:tcMar>
            <w:vAlign w:val="center"/>
            <w:hideMark/>
          </w:tcPr>
          <w:p w14:paraId="3AF88694" w14:textId="77777777" w:rsidR="000104A6" w:rsidRPr="000104A6" w:rsidRDefault="000104A6" w:rsidP="000104A6">
            <w:r w:rsidRPr="000104A6">
              <w:t>3/14</w:t>
            </w:r>
          </w:p>
        </w:tc>
        <w:tc>
          <w:tcPr>
            <w:tcW w:w="7895" w:type="dxa"/>
            <w:shd w:val="clear" w:color="auto" w:fill="FFFFFF"/>
            <w:tcMar>
              <w:top w:w="30" w:type="dxa"/>
              <w:left w:w="30" w:type="dxa"/>
              <w:bottom w:w="30" w:type="dxa"/>
              <w:right w:w="30" w:type="dxa"/>
            </w:tcMar>
            <w:vAlign w:val="center"/>
            <w:hideMark/>
          </w:tcPr>
          <w:p w14:paraId="6B4FB946" w14:textId="77777777" w:rsidR="000104A6" w:rsidRPr="000104A6" w:rsidRDefault="000104A6" w:rsidP="000104A6">
            <w:r w:rsidRPr="000104A6">
              <w:t xml:space="preserve">§ 5.14.2: </w:t>
            </w:r>
            <w:proofErr w:type="gramStart"/>
            <w:r w:rsidRPr="000104A6">
              <w:t>Short Hand</w:t>
            </w:r>
            <w:proofErr w:type="gramEnd"/>
            <w:r w:rsidRPr="000104A6">
              <w:t xml:space="preserve"> Procedure for Convective Diffusion - § 5.14.3: Heat Transfer with Insulation and Convection Boundary Conditions</w:t>
            </w:r>
          </w:p>
        </w:tc>
      </w:tr>
      <w:tr w:rsidR="000104A6" w:rsidRPr="000104A6" w14:paraId="57047202" w14:textId="77777777" w:rsidTr="000104A6">
        <w:tc>
          <w:tcPr>
            <w:tcW w:w="1398" w:type="dxa"/>
            <w:shd w:val="clear" w:color="auto" w:fill="FFFFFF"/>
            <w:tcMar>
              <w:top w:w="30" w:type="dxa"/>
              <w:left w:w="30" w:type="dxa"/>
              <w:bottom w:w="30" w:type="dxa"/>
              <w:right w:w="30" w:type="dxa"/>
            </w:tcMar>
            <w:vAlign w:val="center"/>
            <w:hideMark/>
          </w:tcPr>
          <w:p w14:paraId="119CD74B" w14:textId="77777777" w:rsidR="000104A6" w:rsidRPr="000104A6" w:rsidRDefault="000104A6" w:rsidP="000104A6">
            <w:r w:rsidRPr="000104A6">
              <w:t>27</w:t>
            </w:r>
          </w:p>
        </w:tc>
        <w:tc>
          <w:tcPr>
            <w:tcW w:w="1787" w:type="dxa"/>
            <w:shd w:val="clear" w:color="auto" w:fill="FFFFFF"/>
            <w:tcMar>
              <w:top w:w="30" w:type="dxa"/>
              <w:left w:w="30" w:type="dxa"/>
              <w:bottom w:w="30" w:type="dxa"/>
              <w:right w:w="30" w:type="dxa"/>
            </w:tcMar>
            <w:vAlign w:val="center"/>
            <w:hideMark/>
          </w:tcPr>
          <w:p w14:paraId="48FC1982" w14:textId="77777777" w:rsidR="000104A6" w:rsidRPr="000104A6" w:rsidRDefault="000104A6" w:rsidP="000104A6">
            <w:r w:rsidRPr="000104A6">
              <w:t>3/24</w:t>
            </w:r>
          </w:p>
        </w:tc>
        <w:tc>
          <w:tcPr>
            <w:tcW w:w="7895" w:type="dxa"/>
            <w:shd w:val="clear" w:color="auto" w:fill="FFFFFF"/>
            <w:tcMar>
              <w:top w:w="30" w:type="dxa"/>
              <w:left w:w="30" w:type="dxa"/>
              <w:bottom w:w="30" w:type="dxa"/>
              <w:right w:w="30" w:type="dxa"/>
            </w:tcMar>
            <w:vAlign w:val="center"/>
            <w:hideMark/>
          </w:tcPr>
          <w:p w14:paraId="0A6B7216" w14:textId="77777777" w:rsidR="000104A6" w:rsidRPr="000104A6" w:rsidRDefault="000104A6" w:rsidP="000104A6">
            <w:r w:rsidRPr="000104A6">
              <w:t>§ 5.14.4: Heat Transfer with Insulation and Flux Boundary Conditions</w:t>
            </w:r>
          </w:p>
        </w:tc>
      </w:tr>
      <w:tr w:rsidR="000104A6" w:rsidRPr="000104A6" w14:paraId="0FFD99BC" w14:textId="77777777" w:rsidTr="000104A6">
        <w:tc>
          <w:tcPr>
            <w:tcW w:w="1398" w:type="dxa"/>
            <w:shd w:val="clear" w:color="auto" w:fill="FFFFFF"/>
            <w:tcMar>
              <w:top w:w="30" w:type="dxa"/>
              <w:left w:w="30" w:type="dxa"/>
              <w:bottom w:w="30" w:type="dxa"/>
              <w:right w:w="30" w:type="dxa"/>
            </w:tcMar>
            <w:vAlign w:val="center"/>
            <w:hideMark/>
          </w:tcPr>
          <w:p w14:paraId="6096A385" w14:textId="77777777" w:rsidR="000104A6" w:rsidRPr="000104A6" w:rsidRDefault="000104A6" w:rsidP="000104A6">
            <w:r w:rsidRPr="000104A6">
              <w:t>28</w:t>
            </w:r>
          </w:p>
        </w:tc>
        <w:tc>
          <w:tcPr>
            <w:tcW w:w="1787" w:type="dxa"/>
            <w:shd w:val="clear" w:color="auto" w:fill="FFFFFF"/>
            <w:tcMar>
              <w:top w:w="30" w:type="dxa"/>
              <w:left w:w="30" w:type="dxa"/>
              <w:bottom w:w="30" w:type="dxa"/>
              <w:right w:w="30" w:type="dxa"/>
            </w:tcMar>
            <w:vAlign w:val="center"/>
            <w:hideMark/>
          </w:tcPr>
          <w:p w14:paraId="0E0C1BA2" w14:textId="77777777" w:rsidR="000104A6" w:rsidRPr="000104A6" w:rsidRDefault="000104A6" w:rsidP="000104A6">
            <w:r w:rsidRPr="000104A6">
              <w:t>3/26</w:t>
            </w:r>
          </w:p>
        </w:tc>
        <w:tc>
          <w:tcPr>
            <w:tcW w:w="7895" w:type="dxa"/>
            <w:shd w:val="clear" w:color="auto" w:fill="FFFFFF"/>
            <w:tcMar>
              <w:top w:w="30" w:type="dxa"/>
              <w:left w:w="30" w:type="dxa"/>
              <w:bottom w:w="30" w:type="dxa"/>
              <w:right w:w="30" w:type="dxa"/>
            </w:tcMar>
            <w:vAlign w:val="center"/>
            <w:hideMark/>
          </w:tcPr>
          <w:p w14:paraId="018CC210" w14:textId="77777777" w:rsidR="000104A6" w:rsidRPr="000104A6" w:rsidRDefault="000104A6" w:rsidP="000104A6">
            <w:r w:rsidRPr="000104A6">
              <w:t>§ 5.14.5: Cross Flow Heat Exchanger - § 5.14.6: Electrical Circuit</w:t>
            </w:r>
          </w:p>
        </w:tc>
      </w:tr>
      <w:tr w:rsidR="000104A6" w:rsidRPr="000104A6" w14:paraId="0C1D2C1A" w14:textId="77777777" w:rsidTr="000104A6">
        <w:tc>
          <w:tcPr>
            <w:tcW w:w="1398" w:type="dxa"/>
            <w:shd w:val="clear" w:color="auto" w:fill="FFFFFF"/>
            <w:tcMar>
              <w:top w:w="30" w:type="dxa"/>
              <w:left w:w="30" w:type="dxa"/>
              <w:bottom w:w="30" w:type="dxa"/>
              <w:right w:w="30" w:type="dxa"/>
            </w:tcMar>
            <w:vAlign w:val="center"/>
            <w:hideMark/>
          </w:tcPr>
          <w:p w14:paraId="0EFF8470" w14:textId="77777777" w:rsidR="000104A6" w:rsidRPr="000104A6" w:rsidRDefault="000104A6" w:rsidP="000104A6">
            <w:r w:rsidRPr="000104A6">
              <w:t>29</w:t>
            </w:r>
          </w:p>
        </w:tc>
        <w:tc>
          <w:tcPr>
            <w:tcW w:w="1787" w:type="dxa"/>
            <w:shd w:val="clear" w:color="auto" w:fill="FFFFFF"/>
            <w:tcMar>
              <w:top w:w="30" w:type="dxa"/>
              <w:left w:w="30" w:type="dxa"/>
              <w:bottom w:w="30" w:type="dxa"/>
              <w:right w:w="30" w:type="dxa"/>
            </w:tcMar>
            <w:vAlign w:val="center"/>
            <w:hideMark/>
          </w:tcPr>
          <w:p w14:paraId="7B887212" w14:textId="77777777" w:rsidR="000104A6" w:rsidRPr="000104A6" w:rsidRDefault="000104A6" w:rsidP="000104A6">
            <w:r w:rsidRPr="000104A6">
              <w:t>3/28</w:t>
            </w:r>
          </w:p>
        </w:tc>
        <w:tc>
          <w:tcPr>
            <w:tcW w:w="7895" w:type="dxa"/>
            <w:shd w:val="clear" w:color="auto" w:fill="FFFFFF"/>
            <w:tcMar>
              <w:top w:w="30" w:type="dxa"/>
              <w:left w:w="30" w:type="dxa"/>
              <w:bottom w:w="30" w:type="dxa"/>
              <w:right w:w="30" w:type="dxa"/>
            </w:tcMar>
            <w:vAlign w:val="center"/>
            <w:hideMark/>
          </w:tcPr>
          <w:p w14:paraId="3C8D19A2" w14:textId="77777777" w:rsidR="000104A6" w:rsidRPr="000104A6" w:rsidRDefault="000104A6" w:rsidP="000104A6">
            <w:r w:rsidRPr="000104A6">
              <w:t>§ 6: Numerical Solutions of Ordinary Differential Equations - § 6.3: Taylor Series Method</w:t>
            </w:r>
          </w:p>
        </w:tc>
      </w:tr>
      <w:tr w:rsidR="000104A6" w:rsidRPr="000104A6" w14:paraId="1AFBABF9" w14:textId="77777777" w:rsidTr="000104A6">
        <w:tc>
          <w:tcPr>
            <w:tcW w:w="1398" w:type="dxa"/>
            <w:shd w:val="clear" w:color="auto" w:fill="FFFFFF"/>
            <w:tcMar>
              <w:top w:w="30" w:type="dxa"/>
              <w:left w:w="30" w:type="dxa"/>
              <w:bottom w:w="30" w:type="dxa"/>
              <w:right w:w="30" w:type="dxa"/>
            </w:tcMar>
            <w:vAlign w:val="center"/>
            <w:hideMark/>
          </w:tcPr>
          <w:p w14:paraId="5631A986" w14:textId="77777777" w:rsidR="000104A6" w:rsidRPr="000104A6" w:rsidRDefault="000104A6" w:rsidP="000104A6">
            <w:r w:rsidRPr="000104A6">
              <w:t> </w:t>
            </w:r>
          </w:p>
        </w:tc>
        <w:tc>
          <w:tcPr>
            <w:tcW w:w="1787" w:type="dxa"/>
            <w:shd w:val="clear" w:color="auto" w:fill="FFFFFF"/>
            <w:tcMar>
              <w:top w:w="30" w:type="dxa"/>
              <w:left w:w="30" w:type="dxa"/>
              <w:bottom w:w="30" w:type="dxa"/>
              <w:right w:w="30" w:type="dxa"/>
            </w:tcMar>
            <w:vAlign w:val="center"/>
            <w:hideMark/>
          </w:tcPr>
          <w:p w14:paraId="4A416FD7" w14:textId="77777777" w:rsidR="000104A6" w:rsidRPr="000104A6" w:rsidRDefault="000104A6" w:rsidP="000104A6">
            <w:r w:rsidRPr="000104A6">
              <w:t>3/30</w:t>
            </w:r>
          </w:p>
        </w:tc>
        <w:tc>
          <w:tcPr>
            <w:tcW w:w="7895" w:type="dxa"/>
            <w:shd w:val="clear" w:color="auto" w:fill="FFFFFF"/>
            <w:tcMar>
              <w:top w:w="30" w:type="dxa"/>
              <w:left w:w="30" w:type="dxa"/>
              <w:bottom w:w="30" w:type="dxa"/>
              <w:right w:w="30" w:type="dxa"/>
            </w:tcMar>
            <w:vAlign w:val="center"/>
            <w:hideMark/>
          </w:tcPr>
          <w:p w14:paraId="4B6C761A" w14:textId="77777777" w:rsidR="000104A6" w:rsidRPr="000104A6" w:rsidRDefault="000104A6" w:rsidP="000104A6">
            <w:r w:rsidRPr="000104A6">
              <w:rPr>
                <w:b/>
                <w:bCs/>
              </w:rPr>
              <w:t>Project Paper Due (at midnight on Canvas)</w:t>
            </w:r>
          </w:p>
        </w:tc>
      </w:tr>
      <w:tr w:rsidR="000104A6" w:rsidRPr="000104A6" w14:paraId="1CCCFA9F" w14:textId="77777777" w:rsidTr="000104A6">
        <w:tc>
          <w:tcPr>
            <w:tcW w:w="1398" w:type="dxa"/>
            <w:shd w:val="clear" w:color="auto" w:fill="FFFFFF"/>
            <w:tcMar>
              <w:top w:w="30" w:type="dxa"/>
              <w:left w:w="30" w:type="dxa"/>
              <w:bottom w:w="30" w:type="dxa"/>
              <w:right w:w="30" w:type="dxa"/>
            </w:tcMar>
            <w:vAlign w:val="center"/>
            <w:hideMark/>
          </w:tcPr>
          <w:p w14:paraId="440131D8" w14:textId="77777777" w:rsidR="000104A6" w:rsidRPr="000104A6" w:rsidRDefault="000104A6" w:rsidP="000104A6">
            <w:r w:rsidRPr="000104A6">
              <w:t>30</w:t>
            </w:r>
          </w:p>
        </w:tc>
        <w:tc>
          <w:tcPr>
            <w:tcW w:w="1787" w:type="dxa"/>
            <w:shd w:val="clear" w:color="auto" w:fill="FFFFFF"/>
            <w:tcMar>
              <w:top w:w="30" w:type="dxa"/>
              <w:left w:w="30" w:type="dxa"/>
              <w:bottom w:w="30" w:type="dxa"/>
              <w:right w:w="30" w:type="dxa"/>
            </w:tcMar>
            <w:vAlign w:val="center"/>
            <w:hideMark/>
          </w:tcPr>
          <w:p w14:paraId="7CE202C2" w14:textId="77777777" w:rsidR="000104A6" w:rsidRPr="000104A6" w:rsidRDefault="000104A6" w:rsidP="000104A6">
            <w:r w:rsidRPr="000104A6">
              <w:t>3/31</w:t>
            </w:r>
          </w:p>
        </w:tc>
        <w:tc>
          <w:tcPr>
            <w:tcW w:w="7895" w:type="dxa"/>
            <w:shd w:val="clear" w:color="auto" w:fill="FFFFFF"/>
            <w:tcMar>
              <w:top w:w="30" w:type="dxa"/>
              <w:left w:w="30" w:type="dxa"/>
              <w:bottom w:w="30" w:type="dxa"/>
              <w:right w:w="30" w:type="dxa"/>
            </w:tcMar>
            <w:vAlign w:val="center"/>
            <w:hideMark/>
          </w:tcPr>
          <w:p w14:paraId="0590BDC6" w14:textId="77777777" w:rsidR="000104A6" w:rsidRPr="000104A6" w:rsidRDefault="000104A6" w:rsidP="000104A6">
            <w:r w:rsidRPr="000104A6">
              <w:t>§ 6.4: Runge-</w:t>
            </w:r>
            <w:proofErr w:type="spellStart"/>
            <w:r w:rsidRPr="000104A6">
              <w:t>Kutta</w:t>
            </w:r>
            <w:proofErr w:type="spellEnd"/>
            <w:r w:rsidRPr="000104A6">
              <w:t xml:space="preserve"> Method - § 6.6: Simultaneous Equations</w:t>
            </w:r>
          </w:p>
        </w:tc>
      </w:tr>
      <w:tr w:rsidR="000104A6" w:rsidRPr="000104A6" w14:paraId="5F821794" w14:textId="77777777" w:rsidTr="000104A6">
        <w:tc>
          <w:tcPr>
            <w:tcW w:w="1398" w:type="dxa"/>
            <w:shd w:val="clear" w:color="auto" w:fill="FFFFFF"/>
            <w:tcMar>
              <w:top w:w="30" w:type="dxa"/>
              <w:left w:w="30" w:type="dxa"/>
              <w:bottom w:w="30" w:type="dxa"/>
              <w:right w:w="30" w:type="dxa"/>
            </w:tcMar>
            <w:vAlign w:val="center"/>
            <w:hideMark/>
          </w:tcPr>
          <w:p w14:paraId="7EB7673F" w14:textId="77777777" w:rsidR="000104A6" w:rsidRPr="000104A6" w:rsidRDefault="000104A6" w:rsidP="000104A6">
            <w:r w:rsidRPr="000104A6">
              <w:t>31</w:t>
            </w:r>
          </w:p>
        </w:tc>
        <w:tc>
          <w:tcPr>
            <w:tcW w:w="1787" w:type="dxa"/>
            <w:shd w:val="clear" w:color="auto" w:fill="FFFFFF"/>
            <w:tcMar>
              <w:top w:w="30" w:type="dxa"/>
              <w:left w:w="30" w:type="dxa"/>
              <w:bottom w:w="30" w:type="dxa"/>
              <w:right w:w="30" w:type="dxa"/>
            </w:tcMar>
            <w:vAlign w:val="center"/>
            <w:hideMark/>
          </w:tcPr>
          <w:p w14:paraId="5D00D2A6" w14:textId="77777777" w:rsidR="000104A6" w:rsidRPr="000104A6" w:rsidRDefault="000104A6" w:rsidP="000104A6">
            <w:r w:rsidRPr="000104A6">
              <w:t>4/2</w:t>
            </w:r>
          </w:p>
        </w:tc>
        <w:tc>
          <w:tcPr>
            <w:tcW w:w="7895" w:type="dxa"/>
            <w:shd w:val="clear" w:color="auto" w:fill="FFFFFF"/>
            <w:tcMar>
              <w:top w:w="30" w:type="dxa"/>
              <w:left w:w="30" w:type="dxa"/>
              <w:bottom w:w="30" w:type="dxa"/>
              <w:right w:w="30" w:type="dxa"/>
            </w:tcMar>
            <w:vAlign w:val="center"/>
            <w:hideMark/>
          </w:tcPr>
          <w:p w14:paraId="039E0067" w14:textId="77777777" w:rsidR="000104A6" w:rsidRPr="000104A6" w:rsidRDefault="000104A6" w:rsidP="000104A6">
            <w:r w:rsidRPr="000104A6">
              <w:t>§ 8.1: Stability and the Method of Singular Perturbation</w:t>
            </w:r>
          </w:p>
        </w:tc>
      </w:tr>
      <w:tr w:rsidR="000104A6" w:rsidRPr="000104A6" w14:paraId="53DDE5F0" w14:textId="77777777" w:rsidTr="000104A6">
        <w:tc>
          <w:tcPr>
            <w:tcW w:w="1398" w:type="dxa"/>
            <w:shd w:val="clear" w:color="auto" w:fill="FFFFFF"/>
            <w:tcMar>
              <w:top w:w="30" w:type="dxa"/>
              <w:left w:w="30" w:type="dxa"/>
              <w:bottom w:w="30" w:type="dxa"/>
              <w:right w:w="30" w:type="dxa"/>
            </w:tcMar>
            <w:vAlign w:val="center"/>
            <w:hideMark/>
          </w:tcPr>
          <w:p w14:paraId="1CCF7065" w14:textId="77777777" w:rsidR="000104A6" w:rsidRPr="000104A6" w:rsidRDefault="000104A6" w:rsidP="000104A6">
            <w:r w:rsidRPr="000104A6">
              <w:t>32</w:t>
            </w:r>
          </w:p>
        </w:tc>
        <w:tc>
          <w:tcPr>
            <w:tcW w:w="1787" w:type="dxa"/>
            <w:shd w:val="clear" w:color="auto" w:fill="FFFFFF"/>
            <w:tcMar>
              <w:top w:w="30" w:type="dxa"/>
              <w:left w:w="30" w:type="dxa"/>
              <w:bottom w:w="30" w:type="dxa"/>
              <w:right w:w="30" w:type="dxa"/>
            </w:tcMar>
            <w:vAlign w:val="center"/>
            <w:hideMark/>
          </w:tcPr>
          <w:p w14:paraId="5D178E2F" w14:textId="77777777" w:rsidR="000104A6" w:rsidRPr="000104A6" w:rsidRDefault="000104A6" w:rsidP="000104A6">
            <w:r w:rsidRPr="000104A6">
              <w:t>4/4</w:t>
            </w:r>
          </w:p>
        </w:tc>
        <w:tc>
          <w:tcPr>
            <w:tcW w:w="7895" w:type="dxa"/>
            <w:shd w:val="clear" w:color="auto" w:fill="FFFFFF"/>
            <w:tcMar>
              <w:top w:w="30" w:type="dxa"/>
              <w:left w:w="30" w:type="dxa"/>
              <w:bottom w:w="30" w:type="dxa"/>
              <w:right w:w="30" w:type="dxa"/>
            </w:tcMar>
            <w:vAlign w:val="center"/>
            <w:hideMark/>
          </w:tcPr>
          <w:p w14:paraId="6BB68374" w14:textId="77777777" w:rsidR="000104A6" w:rsidRPr="000104A6" w:rsidRDefault="000104A6" w:rsidP="000104A6">
            <w:r w:rsidRPr="000104A6">
              <w:t>§ 6.6: Application</w:t>
            </w:r>
          </w:p>
        </w:tc>
      </w:tr>
      <w:tr w:rsidR="000104A6" w:rsidRPr="000104A6" w14:paraId="4A2579F9" w14:textId="77777777" w:rsidTr="000104A6">
        <w:tc>
          <w:tcPr>
            <w:tcW w:w="1398" w:type="dxa"/>
            <w:shd w:val="clear" w:color="auto" w:fill="FFFFFF"/>
            <w:tcMar>
              <w:top w:w="30" w:type="dxa"/>
              <w:left w:w="30" w:type="dxa"/>
              <w:bottom w:w="30" w:type="dxa"/>
              <w:right w:w="30" w:type="dxa"/>
            </w:tcMar>
            <w:vAlign w:val="center"/>
            <w:hideMark/>
          </w:tcPr>
          <w:p w14:paraId="02CAF824" w14:textId="77777777" w:rsidR="000104A6" w:rsidRPr="000104A6" w:rsidRDefault="000104A6" w:rsidP="000104A6">
            <w:r w:rsidRPr="000104A6">
              <w:t>33</w:t>
            </w:r>
          </w:p>
        </w:tc>
        <w:tc>
          <w:tcPr>
            <w:tcW w:w="1787" w:type="dxa"/>
            <w:shd w:val="clear" w:color="auto" w:fill="FFFFFF"/>
            <w:tcMar>
              <w:top w:w="30" w:type="dxa"/>
              <w:left w:w="30" w:type="dxa"/>
              <w:bottom w:w="30" w:type="dxa"/>
              <w:right w:w="30" w:type="dxa"/>
            </w:tcMar>
            <w:vAlign w:val="center"/>
            <w:hideMark/>
          </w:tcPr>
          <w:p w14:paraId="3F9E2949" w14:textId="77777777" w:rsidR="000104A6" w:rsidRPr="000104A6" w:rsidRDefault="000104A6" w:rsidP="000104A6">
            <w:r w:rsidRPr="000104A6">
              <w:t>4/7</w:t>
            </w:r>
          </w:p>
        </w:tc>
        <w:tc>
          <w:tcPr>
            <w:tcW w:w="7895" w:type="dxa"/>
            <w:shd w:val="clear" w:color="auto" w:fill="FFFFFF"/>
            <w:tcMar>
              <w:top w:w="30" w:type="dxa"/>
              <w:left w:w="30" w:type="dxa"/>
              <w:bottom w:w="30" w:type="dxa"/>
              <w:right w:w="30" w:type="dxa"/>
            </w:tcMar>
            <w:vAlign w:val="center"/>
            <w:hideMark/>
          </w:tcPr>
          <w:p w14:paraId="31A2B5CE" w14:textId="77777777" w:rsidR="000104A6" w:rsidRPr="000104A6" w:rsidRDefault="000104A6" w:rsidP="000104A6">
            <w:r w:rsidRPr="000104A6">
              <w:t>§ 7: Numerical Solutions of Partial Differential Equations - § 7.1: Explicit Method</w:t>
            </w:r>
            <w:r w:rsidRPr="000104A6">
              <w:rPr>
                <w:b/>
                <w:bCs/>
                <w:i/>
                <w:iCs/>
              </w:rPr>
              <w:t>*End of Third Exam Material</w:t>
            </w:r>
          </w:p>
        </w:tc>
      </w:tr>
      <w:tr w:rsidR="000104A6" w:rsidRPr="000104A6" w14:paraId="1B849D6A" w14:textId="77777777" w:rsidTr="000104A6">
        <w:tc>
          <w:tcPr>
            <w:tcW w:w="1398" w:type="dxa"/>
            <w:shd w:val="clear" w:color="auto" w:fill="FFFFFF"/>
            <w:tcMar>
              <w:top w:w="30" w:type="dxa"/>
              <w:left w:w="30" w:type="dxa"/>
              <w:bottom w:w="30" w:type="dxa"/>
              <w:right w:w="30" w:type="dxa"/>
            </w:tcMar>
            <w:vAlign w:val="center"/>
            <w:hideMark/>
          </w:tcPr>
          <w:p w14:paraId="1AC53301" w14:textId="77777777" w:rsidR="000104A6" w:rsidRPr="000104A6" w:rsidRDefault="000104A6" w:rsidP="000104A6">
            <w:r w:rsidRPr="000104A6">
              <w:t>34</w:t>
            </w:r>
          </w:p>
        </w:tc>
        <w:tc>
          <w:tcPr>
            <w:tcW w:w="1787" w:type="dxa"/>
            <w:shd w:val="clear" w:color="auto" w:fill="FFFFFF"/>
            <w:tcMar>
              <w:top w:w="30" w:type="dxa"/>
              <w:left w:w="30" w:type="dxa"/>
              <w:bottom w:w="30" w:type="dxa"/>
              <w:right w:w="30" w:type="dxa"/>
            </w:tcMar>
            <w:vAlign w:val="center"/>
            <w:hideMark/>
          </w:tcPr>
          <w:p w14:paraId="1A427645" w14:textId="77777777" w:rsidR="000104A6" w:rsidRPr="000104A6" w:rsidRDefault="000104A6" w:rsidP="000104A6">
            <w:r w:rsidRPr="000104A6">
              <w:t>4/9</w:t>
            </w:r>
          </w:p>
        </w:tc>
        <w:tc>
          <w:tcPr>
            <w:tcW w:w="7895" w:type="dxa"/>
            <w:shd w:val="clear" w:color="auto" w:fill="FFFFFF"/>
            <w:tcMar>
              <w:top w:w="30" w:type="dxa"/>
              <w:left w:w="30" w:type="dxa"/>
              <w:bottom w:w="30" w:type="dxa"/>
              <w:right w:w="30" w:type="dxa"/>
            </w:tcMar>
            <w:vAlign w:val="center"/>
            <w:hideMark/>
          </w:tcPr>
          <w:p w14:paraId="02C004CB" w14:textId="77777777" w:rsidR="000104A6" w:rsidRPr="000104A6" w:rsidRDefault="000104A6" w:rsidP="000104A6">
            <w:r w:rsidRPr="000104A6">
              <w:t>§ 7.2: Implicit Method - § 7.3.1: Heat Transfer Along a Uniform Conductor</w:t>
            </w:r>
          </w:p>
        </w:tc>
      </w:tr>
      <w:tr w:rsidR="000104A6" w:rsidRPr="000104A6" w14:paraId="0E4FD5DA" w14:textId="77777777" w:rsidTr="000104A6">
        <w:tc>
          <w:tcPr>
            <w:tcW w:w="1398" w:type="dxa"/>
            <w:shd w:val="clear" w:color="auto" w:fill="FFFFFF"/>
            <w:tcMar>
              <w:top w:w="30" w:type="dxa"/>
              <w:left w:w="30" w:type="dxa"/>
              <w:bottom w:w="30" w:type="dxa"/>
              <w:right w:w="30" w:type="dxa"/>
            </w:tcMar>
            <w:vAlign w:val="center"/>
            <w:hideMark/>
          </w:tcPr>
          <w:p w14:paraId="4997B1CB" w14:textId="77777777" w:rsidR="000104A6" w:rsidRPr="000104A6" w:rsidRDefault="000104A6" w:rsidP="000104A6">
            <w:r w:rsidRPr="000104A6">
              <w:t>35</w:t>
            </w:r>
          </w:p>
        </w:tc>
        <w:tc>
          <w:tcPr>
            <w:tcW w:w="1787" w:type="dxa"/>
            <w:shd w:val="clear" w:color="auto" w:fill="FFFFFF"/>
            <w:tcMar>
              <w:top w:w="30" w:type="dxa"/>
              <w:left w:w="30" w:type="dxa"/>
              <w:bottom w:w="30" w:type="dxa"/>
              <w:right w:w="30" w:type="dxa"/>
            </w:tcMar>
            <w:vAlign w:val="center"/>
            <w:hideMark/>
          </w:tcPr>
          <w:p w14:paraId="5B8C91C2" w14:textId="77777777" w:rsidR="000104A6" w:rsidRPr="000104A6" w:rsidRDefault="000104A6" w:rsidP="000104A6">
            <w:r w:rsidRPr="000104A6">
              <w:t>4/11</w:t>
            </w:r>
          </w:p>
        </w:tc>
        <w:tc>
          <w:tcPr>
            <w:tcW w:w="7895" w:type="dxa"/>
            <w:shd w:val="clear" w:color="auto" w:fill="FFFFFF"/>
            <w:tcMar>
              <w:top w:w="30" w:type="dxa"/>
              <w:left w:w="30" w:type="dxa"/>
              <w:bottom w:w="30" w:type="dxa"/>
              <w:right w:w="30" w:type="dxa"/>
            </w:tcMar>
            <w:vAlign w:val="center"/>
            <w:hideMark/>
          </w:tcPr>
          <w:p w14:paraId="3AC0B796" w14:textId="77777777" w:rsidR="000104A6" w:rsidRPr="000104A6" w:rsidRDefault="000104A6" w:rsidP="000104A6">
            <w:r w:rsidRPr="000104A6">
              <w:t>§ 7.3.2: Langmuir-Hinshelwood Kinetics - § 7.3.3: Heat Transfer through a Cylinder</w:t>
            </w:r>
          </w:p>
        </w:tc>
      </w:tr>
      <w:tr w:rsidR="000104A6" w:rsidRPr="000104A6" w14:paraId="39B0F732" w14:textId="77777777" w:rsidTr="000104A6">
        <w:tc>
          <w:tcPr>
            <w:tcW w:w="1398" w:type="dxa"/>
            <w:shd w:val="clear" w:color="auto" w:fill="FFFFFF"/>
            <w:tcMar>
              <w:top w:w="30" w:type="dxa"/>
              <w:left w:w="30" w:type="dxa"/>
              <w:bottom w:w="30" w:type="dxa"/>
              <w:right w:w="30" w:type="dxa"/>
            </w:tcMar>
            <w:vAlign w:val="center"/>
            <w:hideMark/>
          </w:tcPr>
          <w:p w14:paraId="27CBD64D" w14:textId="77777777" w:rsidR="000104A6" w:rsidRPr="000104A6" w:rsidRDefault="000104A6" w:rsidP="000104A6">
            <w:r w:rsidRPr="000104A6">
              <w:t>36</w:t>
            </w:r>
          </w:p>
        </w:tc>
        <w:tc>
          <w:tcPr>
            <w:tcW w:w="1787" w:type="dxa"/>
            <w:shd w:val="clear" w:color="auto" w:fill="FFFFFF"/>
            <w:tcMar>
              <w:top w:w="30" w:type="dxa"/>
              <w:left w:w="30" w:type="dxa"/>
              <w:bottom w:w="30" w:type="dxa"/>
              <w:right w:w="30" w:type="dxa"/>
            </w:tcMar>
            <w:vAlign w:val="center"/>
            <w:hideMark/>
          </w:tcPr>
          <w:p w14:paraId="51E91419" w14:textId="77777777" w:rsidR="000104A6" w:rsidRPr="000104A6" w:rsidRDefault="000104A6" w:rsidP="000104A6">
            <w:r w:rsidRPr="000104A6">
              <w:t>4/14</w:t>
            </w:r>
          </w:p>
        </w:tc>
        <w:tc>
          <w:tcPr>
            <w:tcW w:w="7895" w:type="dxa"/>
            <w:shd w:val="clear" w:color="auto" w:fill="FFFFFF"/>
            <w:tcMar>
              <w:top w:w="30" w:type="dxa"/>
              <w:left w:w="30" w:type="dxa"/>
              <w:bottom w:w="30" w:type="dxa"/>
              <w:right w:w="30" w:type="dxa"/>
            </w:tcMar>
            <w:vAlign w:val="center"/>
            <w:hideMark/>
          </w:tcPr>
          <w:p w14:paraId="75B4F1E6" w14:textId="77777777" w:rsidR="000104A6" w:rsidRPr="000104A6" w:rsidRDefault="000104A6" w:rsidP="000104A6">
            <w:r w:rsidRPr="000104A6">
              <w:t>§ 8.2: Matrix Inversion by the Thomas Algorithm &amp; § 7.3.4: Heat Transfer through a Cylinder with Offset Internal Insulation</w:t>
            </w:r>
          </w:p>
        </w:tc>
      </w:tr>
      <w:tr w:rsidR="000104A6" w:rsidRPr="000104A6" w14:paraId="72E399B2" w14:textId="77777777" w:rsidTr="000104A6">
        <w:tc>
          <w:tcPr>
            <w:tcW w:w="1398" w:type="dxa"/>
            <w:shd w:val="clear" w:color="auto" w:fill="FFFFFF"/>
            <w:tcMar>
              <w:top w:w="30" w:type="dxa"/>
              <w:left w:w="30" w:type="dxa"/>
              <w:bottom w:w="30" w:type="dxa"/>
              <w:right w:w="30" w:type="dxa"/>
            </w:tcMar>
            <w:vAlign w:val="center"/>
            <w:hideMark/>
          </w:tcPr>
          <w:p w14:paraId="55080FB5" w14:textId="77777777" w:rsidR="000104A6" w:rsidRPr="000104A6" w:rsidRDefault="000104A6" w:rsidP="000104A6">
            <w:r w:rsidRPr="000104A6">
              <w:t>37</w:t>
            </w:r>
          </w:p>
        </w:tc>
        <w:tc>
          <w:tcPr>
            <w:tcW w:w="1787" w:type="dxa"/>
            <w:shd w:val="clear" w:color="auto" w:fill="FFFFFF"/>
            <w:tcMar>
              <w:top w:w="30" w:type="dxa"/>
              <w:left w:w="30" w:type="dxa"/>
              <w:bottom w:w="30" w:type="dxa"/>
              <w:right w:w="30" w:type="dxa"/>
            </w:tcMar>
            <w:vAlign w:val="center"/>
            <w:hideMark/>
          </w:tcPr>
          <w:p w14:paraId="314F64BA" w14:textId="77777777" w:rsidR="000104A6" w:rsidRPr="000104A6" w:rsidRDefault="000104A6" w:rsidP="000104A6">
            <w:r w:rsidRPr="000104A6">
              <w:t>4/16</w:t>
            </w:r>
          </w:p>
        </w:tc>
        <w:tc>
          <w:tcPr>
            <w:tcW w:w="7895" w:type="dxa"/>
            <w:shd w:val="clear" w:color="auto" w:fill="FFFFFF"/>
            <w:tcMar>
              <w:top w:w="30" w:type="dxa"/>
              <w:left w:w="30" w:type="dxa"/>
              <w:bottom w:w="30" w:type="dxa"/>
              <w:right w:w="30" w:type="dxa"/>
            </w:tcMar>
            <w:vAlign w:val="center"/>
            <w:hideMark/>
          </w:tcPr>
          <w:p w14:paraId="4DD80278" w14:textId="77777777" w:rsidR="000104A6" w:rsidRPr="000104A6" w:rsidRDefault="000104A6" w:rsidP="000104A6">
            <w:r w:rsidRPr="000104A6">
              <w:t>Catch-up</w:t>
            </w:r>
          </w:p>
        </w:tc>
      </w:tr>
      <w:tr w:rsidR="000104A6" w:rsidRPr="000104A6" w14:paraId="028BBCC4" w14:textId="77777777" w:rsidTr="000104A6">
        <w:tc>
          <w:tcPr>
            <w:tcW w:w="1398" w:type="dxa"/>
            <w:shd w:val="clear" w:color="auto" w:fill="FFFFFF"/>
            <w:tcMar>
              <w:top w:w="30" w:type="dxa"/>
              <w:left w:w="30" w:type="dxa"/>
              <w:bottom w:w="30" w:type="dxa"/>
              <w:right w:w="30" w:type="dxa"/>
            </w:tcMar>
            <w:vAlign w:val="center"/>
            <w:hideMark/>
          </w:tcPr>
          <w:p w14:paraId="208C3548" w14:textId="77777777" w:rsidR="000104A6" w:rsidRPr="000104A6" w:rsidRDefault="000104A6" w:rsidP="000104A6">
            <w:r w:rsidRPr="000104A6">
              <w:lastRenderedPageBreak/>
              <w:t>38</w:t>
            </w:r>
          </w:p>
        </w:tc>
        <w:tc>
          <w:tcPr>
            <w:tcW w:w="1787" w:type="dxa"/>
            <w:shd w:val="clear" w:color="auto" w:fill="FFFFFF"/>
            <w:tcMar>
              <w:top w:w="30" w:type="dxa"/>
              <w:left w:w="30" w:type="dxa"/>
              <w:bottom w:w="30" w:type="dxa"/>
              <w:right w:w="30" w:type="dxa"/>
            </w:tcMar>
            <w:vAlign w:val="center"/>
            <w:hideMark/>
          </w:tcPr>
          <w:p w14:paraId="3DE4C91F" w14:textId="77777777" w:rsidR="000104A6" w:rsidRPr="000104A6" w:rsidRDefault="000104A6" w:rsidP="000104A6">
            <w:r w:rsidRPr="000104A6">
              <w:t>4/18</w:t>
            </w:r>
          </w:p>
        </w:tc>
        <w:tc>
          <w:tcPr>
            <w:tcW w:w="7895" w:type="dxa"/>
            <w:shd w:val="clear" w:color="auto" w:fill="FFFFFF"/>
            <w:tcMar>
              <w:top w:w="30" w:type="dxa"/>
              <w:left w:w="30" w:type="dxa"/>
              <w:bottom w:w="30" w:type="dxa"/>
              <w:right w:w="30" w:type="dxa"/>
            </w:tcMar>
            <w:vAlign w:val="center"/>
            <w:hideMark/>
          </w:tcPr>
          <w:p w14:paraId="0D048C6C" w14:textId="77777777" w:rsidR="000104A6" w:rsidRPr="000104A6" w:rsidRDefault="000104A6" w:rsidP="000104A6">
            <w:r w:rsidRPr="000104A6">
              <w:t>Catch-up</w:t>
            </w:r>
          </w:p>
        </w:tc>
      </w:tr>
      <w:tr w:rsidR="000104A6" w:rsidRPr="000104A6" w14:paraId="0702D3FE" w14:textId="77777777" w:rsidTr="000104A6">
        <w:tc>
          <w:tcPr>
            <w:tcW w:w="1398" w:type="dxa"/>
            <w:shd w:val="clear" w:color="auto" w:fill="FFFFFF"/>
            <w:tcMar>
              <w:top w:w="30" w:type="dxa"/>
              <w:left w:w="30" w:type="dxa"/>
              <w:bottom w:w="30" w:type="dxa"/>
              <w:right w:w="30" w:type="dxa"/>
            </w:tcMar>
            <w:vAlign w:val="center"/>
            <w:hideMark/>
          </w:tcPr>
          <w:p w14:paraId="45D56127" w14:textId="77777777" w:rsidR="000104A6" w:rsidRPr="000104A6" w:rsidRDefault="000104A6" w:rsidP="000104A6">
            <w:r w:rsidRPr="000104A6">
              <w:t>39</w:t>
            </w:r>
          </w:p>
        </w:tc>
        <w:tc>
          <w:tcPr>
            <w:tcW w:w="1787" w:type="dxa"/>
            <w:shd w:val="clear" w:color="auto" w:fill="FFFFFF"/>
            <w:tcMar>
              <w:top w:w="30" w:type="dxa"/>
              <w:left w:w="30" w:type="dxa"/>
              <w:bottom w:w="30" w:type="dxa"/>
              <w:right w:w="30" w:type="dxa"/>
            </w:tcMar>
            <w:vAlign w:val="center"/>
            <w:hideMark/>
          </w:tcPr>
          <w:p w14:paraId="25FCE69F" w14:textId="77777777" w:rsidR="000104A6" w:rsidRPr="000104A6" w:rsidRDefault="000104A6" w:rsidP="000104A6">
            <w:r w:rsidRPr="000104A6">
              <w:t>4/21</w:t>
            </w:r>
          </w:p>
        </w:tc>
        <w:tc>
          <w:tcPr>
            <w:tcW w:w="7895" w:type="dxa"/>
            <w:shd w:val="clear" w:color="auto" w:fill="FFFFFF"/>
            <w:tcMar>
              <w:top w:w="30" w:type="dxa"/>
              <w:left w:w="30" w:type="dxa"/>
              <w:bottom w:w="30" w:type="dxa"/>
              <w:right w:w="30" w:type="dxa"/>
            </w:tcMar>
            <w:vAlign w:val="center"/>
            <w:hideMark/>
          </w:tcPr>
          <w:p w14:paraId="722816E2" w14:textId="77777777" w:rsidR="000104A6" w:rsidRPr="000104A6" w:rsidRDefault="000104A6" w:rsidP="000104A6">
            <w:r w:rsidRPr="000104A6">
              <w:t>Catch-up</w:t>
            </w:r>
          </w:p>
        </w:tc>
      </w:tr>
      <w:tr w:rsidR="000104A6" w:rsidRPr="000104A6" w14:paraId="21502A6C" w14:textId="77777777" w:rsidTr="000104A6">
        <w:tc>
          <w:tcPr>
            <w:tcW w:w="1398" w:type="dxa"/>
            <w:shd w:val="clear" w:color="auto" w:fill="FFFFFF"/>
            <w:tcMar>
              <w:top w:w="30" w:type="dxa"/>
              <w:left w:w="30" w:type="dxa"/>
              <w:bottom w:w="30" w:type="dxa"/>
              <w:right w:w="30" w:type="dxa"/>
            </w:tcMar>
            <w:vAlign w:val="center"/>
            <w:hideMark/>
          </w:tcPr>
          <w:p w14:paraId="128B5C5E" w14:textId="77777777" w:rsidR="000104A6" w:rsidRPr="000104A6" w:rsidRDefault="000104A6" w:rsidP="000104A6">
            <w:r w:rsidRPr="000104A6">
              <w:t> </w:t>
            </w:r>
          </w:p>
        </w:tc>
        <w:tc>
          <w:tcPr>
            <w:tcW w:w="1787" w:type="dxa"/>
            <w:shd w:val="clear" w:color="auto" w:fill="FFFFFF"/>
            <w:tcMar>
              <w:top w:w="30" w:type="dxa"/>
              <w:left w:w="30" w:type="dxa"/>
              <w:bottom w:w="30" w:type="dxa"/>
              <w:right w:w="30" w:type="dxa"/>
            </w:tcMar>
            <w:vAlign w:val="center"/>
            <w:hideMark/>
          </w:tcPr>
          <w:p w14:paraId="07633242" w14:textId="77777777" w:rsidR="000104A6" w:rsidRPr="000104A6" w:rsidRDefault="000104A6" w:rsidP="000104A6">
            <w:r w:rsidRPr="000104A6">
              <w:t>4/23</w:t>
            </w:r>
          </w:p>
        </w:tc>
        <w:tc>
          <w:tcPr>
            <w:tcW w:w="7895" w:type="dxa"/>
            <w:shd w:val="clear" w:color="auto" w:fill="FFFFFF"/>
            <w:tcMar>
              <w:top w:w="30" w:type="dxa"/>
              <w:left w:w="30" w:type="dxa"/>
              <w:bottom w:w="30" w:type="dxa"/>
              <w:right w:w="30" w:type="dxa"/>
            </w:tcMar>
            <w:vAlign w:val="center"/>
            <w:hideMark/>
          </w:tcPr>
          <w:p w14:paraId="038BB29F" w14:textId="77777777" w:rsidR="000104A6" w:rsidRPr="000104A6" w:rsidRDefault="000104A6" w:rsidP="000104A6">
            <w:r w:rsidRPr="000104A6">
              <w:rPr>
                <w:b/>
                <w:bCs/>
              </w:rPr>
              <w:t>Project Paper Reviews (at midnight on Canvas)</w:t>
            </w:r>
          </w:p>
        </w:tc>
      </w:tr>
    </w:tbl>
    <w:p w14:paraId="1B782E9A" w14:textId="77777777" w:rsidR="000104A6" w:rsidRPr="000104A6" w:rsidRDefault="000104A6" w:rsidP="000104A6">
      <w:r w:rsidRPr="000104A6">
        <w:rPr>
          <w:b/>
          <w:bCs/>
        </w:rPr>
        <w:t> </w:t>
      </w:r>
    </w:p>
    <w:p w14:paraId="6CA09AB7" w14:textId="77777777" w:rsidR="000104A6" w:rsidRPr="000104A6" w:rsidRDefault="000104A6" w:rsidP="000104A6">
      <w:r w:rsidRPr="000104A6">
        <w:rPr>
          <w:b/>
          <w:bCs/>
        </w:rPr>
        <w:t>Announcement Policy:</w:t>
      </w:r>
      <w:r w:rsidRPr="000104A6">
        <w:t>    Students will be held responsible for </w:t>
      </w:r>
      <w:r w:rsidRPr="000104A6">
        <w:rPr>
          <w:i/>
          <w:iCs/>
        </w:rPr>
        <w:t>all</w:t>
      </w:r>
      <w:r w:rsidRPr="000104A6">
        <w:t xml:space="preserve"> announcements made in class, which </w:t>
      </w:r>
      <w:proofErr w:type="gramStart"/>
      <w:r w:rsidRPr="000104A6">
        <w:t>includes</w:t>
      </w:r>
      <w:proofErr w:type="gramEnd"/>
      <w:r w:rsidRPr="000104A6">
        <w:t> </w:t>
      </w:r>
      <w:proofErr w:type="gramStart"/>
      <w:r w:rsidRPr="000104A6">
        <w:rPr>
          <w:i/>
          <w:iCs/>
        </w:rPr>
        <w:t>any and all</w:t>
      </w:r>
      <w:proofErr w:type="gramEnd"/>
      <w:r w:rsidRPr="000104A6">
        <w:t> changes to this syllabus and the course lecture schedule. Students are expected to attend all lectures and any guest speakers scheduled.</w:t>
      </w:r>
    </w:p>
    <w:p w14:paraId="685C5756" w14:textId="77777777" w:rsidR="000104A6" w:rsidRPr="000104A6" w:rsidRDefault="000104A6" w:rsidP="000104A6">
      <w:r w:rsidRPr="000104A6">
        <w:rPr>
          <w:b/>
          <w:bCs/>
        </w:rPr>
        <w:t>Expectations:</w:t>
      </w:r>
      <w:r w:rsidRPr="000104A6">
        <w:t xml:space="preserve">                    Attendance is expected. Be professional and show the appropriate </w:t>
      </w:r>
      <w:proofErr w:type="gramStart"/>
      <w:r w:rsidRPr="000104A6">
        <w:t>curtesy</w:t>
      </w:r>
      <w:proofErr w:type="gramEnd"/>
      <w:r w:rsidRPr="000104A6">
        <w:t xml:space="preserve"> that should represent all University of Florida graduate students. Paying attention, reading the required material, and mastering the problem sets should result in a successful outcome. The </w:t>
      </w:r>
      <w:proofErr w:type="gramStart"/>
      <w:r w:rsidRPr="000104A6">
        <w:t>student</w:t>
      </w:r>
      <w:proofErr w:type="gramEnd"/>
      <w:r w:rsidRPr="000104A6">
        <w:t xml:space="preserve"> will get out of this course, what they put into it.</w:t>
      </w:r>
    </w:p>
    <w:p w14:paraId="398F7DFF" w14:textId="77777777" w:rsidR="000104A6" w:rsidRPr="000104A6" w:rsidRDefault="000104A6" w:rsidP="000104A6">
      <w:r w:rsidRPr="000104A6">
        <w:rPr>
          <w:b/>
          <w:bCs/>
        </w:rPr>
        <w:t>Grading:</w:t>
      </w:r>
    </w:p>
    <w:p w14:paraId="50E16DDC" w14:textId="77777777" w:rsidR="000104A6" w:rsidRPr="000104A6" w:rsidRDefault="000104A6" w:rsidP="000104A6">
      <w:r w:rsidRPr="000104A6">
        <w:rPr>
          <w:b/>
          <w:bCs/>
        </w:rPr>
        <w:t>Grading Policy:</w:t>
      </w:r>
    </w:p>
    <w:p w14:paraId="73408309" w14:textId="77777777" w:rsidR="000104A6" w:rsidRPr="000104A6" w:rsidRDefault="000104A6" w:rsidP="000104A6">
      <w:r w:rsidRPr="000104A6">
        <w:t>                                          A:                  92-100%</w:t>
      </w:r>
    </w:p>
    <w:p w14:paraId="0CEFE29D" w14:textId="77777777" w:rsidR="000104A6" w:rsidRPr="000104A6" w:rsidRDefault="000104A6" w:rsidP="000104A6">
      <w:r w:rsidRPr="000104A6">
        <w:t>                                          A-:                 90-91%</w:t>
      </w:r>
    </w:p>
    <w:p w14:paraId="69D55BB4" w14:textId="77777777" w:rsidR="000104A6" w:rsidRPr="000104A6" w:rsidRDefault="000104A6" w:rsidP="000104A6">
      <w:r w:rsidRPr="000104A6">
        <w:t>                                          B+:                88-89%</w:t>
      </w:r>
    </w:p>
    <w:p w14:paraId="392BEAD9" w14:textId="77777777" w:rsidR="000104A6" w:rsidRPr="000104A6" w:rsidRDefault="000104A6" w:rsidP="000104A6">
      <w:r w:rsidRPr="000104A6">
        <w:t>                                          B:                  82-87%</w:t>
      </w:r>
    </w:p>
    <w:p w14:paraId="64DD543B" w14:textId="77777777" w:rsidR="000104A6" w:rsidRPr="000104A6" w:rsidRDefault="000104A6" w:rsidP="000104A6">
      <w:r w:rsidRPr="000104A6">
        <w:t>                                          B-:                 80-81%</w:t>
      </w:r>
    </w:p>
    <w:p w14:paraId="19F54DA1" w14:textId="77777777" w:rsidR="000104A6" w:rsidRPr="000104A6" w:rsidRDefault="000104A6" w:rsidP="000104A6">
      <w:r w:rsidRPr="000104A6">
        <w:t>                                          C+:                78-79%</w:t>
      </w:r>
    </w:p>
    <w:p w14:paraId="72AFC611" w14:textId="77777777" w:rsidR="000104A6" w:rsidRPr="000104A6" w:rsidRDefault="000104A6" w:rsidP="000104A6">
      <w:r w:rsidRPr="000104A6">
        <w:t>                                          C:                  72-77%</w:t>
      </w:r>
    </w:p>
    <w:p w14:paraId="5C4E7D4D" w14:textId="77777777" w:rsidR="000104A6" w:rsidRPr="000104A6" w:rsidRDefault="000104A6" w:rsidP="000104A6">
      <w:r w:rsidRPr="000104A6">
        <w:t>                                          C-:                 70-71%</w:t>
      </w:r>
    </w:p>
    <w:p w14:paraId="4A29C804" w14:textId="77777777" w:rsidR="000104A6" w:rsidRPr="000104A6" w:rsidRDefault="000104A6" w:rsidP="000104A6">
      <w:r w:rsidRPr="000104A6">
        <w:t>                                          D+:                68-69%</w:t>
      </w:r>
    </w:p>
    <w:p w14:paraId="3FEB2183" w14:textId="77777777" w:rsidR="000104A6" w:rsidRPr="000104A6" w:rsidRDefault="000104A6" w:rsidP="000104A6">
      <w:r w:rsidRPr="000104A6">
        <w:t>                                          D:                  62-677%</w:t>
      </w:r>
    </w:p>
    <w:p w14:paraId="3A71732F" w14:textId="77777777" w:rsidR="000104A6" w:rsidRPr="000104A6" w:rsidRDefault="000104A6" w:rsidP="000104A6">
      <w:r w:rsidRPr="000104A6">
        <w:t>                                          D-:                60-61%</w:t>
      </w:r>
    </w:p>
    <w:p w14:paraId="2D5CAEB0" w14:textId="77777777" w:rsidR="000104A6" w:rsidRPr="000104A6" w:rsidRDefault="000104A6" w:rsidP="000104A6">
      <w:r w:rsidRPr="000104A6">
        <w:t>                                          E:                  &lt; 60%</w:t>
      </w:r>
    </w:p>
    <w:p w14:paraId="57A65CE5" w14:textId="77777777" w:rsidR="000104A6" w:rsidRPr="000104A6" w:rsidRDefault="000104A6" w:rsidP="000104A6">
      <w:r w:rsidRPr="000104A6">
        <w:rPr>
          <w:b/>
          <w:bCs/>
        </w:rPr>
        <w:t>Make-up Policy:</w:t>
      </w:r>
      <w:r w:rsidRPr="000104A6">
        <w:t xml:space="preserve">               To </w:t>
      </w:r>
      <w:proofErr w:type="gramStart"/>
      <w:r w:rsidRPr="000104A6">
        <w:t>make-up</w:t>
      </w:r>
      <w:proofErr w:type="gramEnd"/>
      <w:r w:rsidRPr="000104A6">
        <w:t xml:space="preserve"> an unavoidable class period with prior notification the student will be required to attend one additional seminar. Tardiness will be treated similarly. To make </w:t>
      </w:r>
      <w:proofErr w:type="gramStart"/>
      <w:r w:rsidRPr="000104A6">
        <w:t>up</w:t>
      </w:r>
      <w:proofErr w:type="gramEnd"/>
      <w:r w:rsidRPr="000104A6">
        <w:t xml:space="preserve"> a missing class without prior notification, or excessive tardiness the </w:t>
      </w:r>
      <w:r w:rsidRPr="000104A6">
        <w:lastRenderedPageBreak/>
        <w:t>student will be required to attend three addition seminars (at least one must be outside the department)</w:t>
      </w:r>
    </w:p>
    <w:p w14:paraId="2446978F" w14:textId="77777777" w:rsidR="000104A6" w:rsidRPr="000104A6" w:rsidRDefault="000104A6" w:rsidP="000104A6">
      <w:r w:rsidRPr="000104A6">
        <w:rPr>
          <w:b/>
          <w:bCs/>
        </w:rPr>
        <w:t>Student Course Evaluations:</w:t>
      </w:r>
    </w:p>
    <w:p w14:paraId="4330FEAC" w14:textId="77777777" w:rsidR="000104A6" w:rsidRPr="000104A6" w:rsidRDefault="000104A6" w:rsidP="000104A6">
      <w:r w:rsidRPr="000104A6">
        <w:t xml:space="preserve">Students are expected to provide professional and respectful feedback on the quality of instruction in this course by completing course evaluations online via </w:t>
      </w:r>
      <w:proofErr w:type="spellStart"/>
      <w:r w:rsidRPr="000104A6">
        <w:t>GatorEvals</w:t>
      </w:r>
      <w:proofErr w:type="spellEnd"/>
      <w:r w:rsidRPr="000104A6">
        <w:t xml:space="preserve">. Guidance on how to give feedback in a professional and respectful manner is available at https://gatorevals.aa.ufl.edu/students/. Students will be notified when the evaluation period </w:t>
      </w:r>
      <w:proofErr w:type="gramStart"/>
      <w:r w:rsidRPr="000104A6">
        <w:t>opens, and</w:t>
      </w:r>
      <w:proofErr w:type="gramEnd"/>
      <w:r w:rsidRPr="000104A6">
        <w:t xml:space="preserve"> can complete evaluations through the email they receive from </w:t>
      </w:r>
      <w:proofErr w:type="spellStart"/>
      <w:r w:rsidRPr="000104A6">
        <w:t>GatorEvals</w:t>
      </w:r>
      <w:proofErr w:type="spellEnd"/>
      <w:r w:rsidRPr="000104A6">
        <w:t xml:space="preserve">, in their Canvas course menu under </w:t>
      </w:r>
      <w:proofErr w:type="spellStart"/>
      <w:r w:rsidRPr="000104A6">
        <w:t>GatorEvals</w:t>
      </w:r>
      <w:proofErr w:type="spellEnd"/>
      <w:r w:rsidRPr="000104A6">
        <w:t>, or via https://ufl.bluera.com/ufl/. Summaries of course evaluation results are available to students at https://gatorevals.aa.ufl.edu/public-results/.</w:t>
      </w:r>
    </w:p>
    <w:p w14:paraId="49A6EF64" w14:textId="77777777" w:rsidR="000104A6" w:rsidRPr="000104A6" w:rsidRDefault="000104A6" w:rsidP="000104A6">
      <w:r w:rsidRPr="000104A6">
        <w:rPr>
          <w:b/>
          <w:bCs/>
        </w:rPr>
        <w:t>Academic Honesty:</w:t>
      </w:r>
    </w:p>
    <w:p w14:paraId="243AA02E" w14:textId="77777777" w:rsidR="000104A6" w:rsidRPr="000104A6" w:rsidRDefault="000104A6" w:rsidP="000104A6">
      <w:r w:rsidRPr="000104A6">
        <w:t>Students will be </w:t>
      </w:r>
      <w:r w:rsidRPr="000104A6">
        <w:rPr>
          <w:i/>
          <w:iCs/>
        </w:rPr>
        <w:t>strictly held</w:t>
      </w:r>
      <w:r w:rsidRPr="000104A6">
        <w:rPr>
          <w:b/>
          <w:bCs/>
        </w:rPr>
        <w:t> </w:t>
      </w:r>
      <w:r w:rsidRPr="000104A6">
        <w:t xml:space="preserve">to the University of Florida's policy on Academic Honesty. Any act of cheating, plagiarism, or any other dishonest act will be </w:t>
      </w:r>
      <w:proofErr w:type="gramStart"/>
      <w:r w:rsidRPr="000104A6">
        <w:t>prosecuted to the fullest extent</w:t>
      </w:r>
      <w:proofErr w:type="gramEnd"/>
      <w:r w:rsidRPr="000104A6">
        <w:t>. Students should also strive to think and act as professionals. Students should extend all guests professional and common courtesy.</w:t>
      </w:r>
    </w:p>
    <w:p w14:paraId="781FB7CF" w14:textId="77777777" w:rsidR="000104A6" w:rsidRPr="000104A6" w:rsidRDefault="000104A6" w:rsidP="000104A6">
      <w:r w:rsidRPr="000104A6">
        <w:t>In the process of enrolling and registering for classes at the University of Florida, every student has signed and presumably understands the following statement: "I understand that the University of Florida expects its students to be honest in all their academic work. I agree to adhere to this commitment to academic honesty and understand that failure to comply with this commitment may result in disciplinary action up to and including expulsion from the University." The following information will be placed on examinations. On my honor, I have neither given nor received unauthorized aid on this examination.</w:t>
      </w:r>
    </w:p>
    <w:p w14:paraId="73DB7BC1" w14:textId="77777777" w:rsidR="000104A6" w:rsidRPr="000104A6" w:rsidRDefault="000104A6" w:rsidP="000104A6">
      <w:r w:rsidRPr="000104A6">
        <w:rPr>
          <w:b/>
          <w:bCs/>
        </w:rPr>
        <w:t>Use of Library, Personal References, PC Programs and Electronic Databases:</w:t>
      </w:r>
    </w:p>
    <w:p w14:paraId="4627892F" w14:textId="77777777" w:rsidR="000104A6" w:rsidRPr="000104A6" w:rsidRDefault="000104A6" w:rsidP="000104A6">
      <w:r w:rsidRPr="000104A6">
        <w:t xml:space="preserve">These items are university property and should be utilized with other users in mind. Never remove, mark, modify </w:t>
      </w:r>
      <w:proofErr w:type="gramStart"/>
      <w:r w:rsidRPr="000104A6">
        <w:t>nor</w:t>
      </w:r>
      <w:proofErr w:type="gramEnd"/>
      <w:r w:rsidRPr="000104A6">
        <w:t xml:space="preserve"> deface resources that do not belong to you. If you're in the habit of underlining text, do it only on your personal copy. It is inconsiderate, costly to others, and dishonest to use common references otherwise.</w:t>
      </w:r>
    </w:p>
    <w:p w14:paraId="75C6A377" w14:textId="77777777" w:rsidR="000104A6" w:rsidRPr="000104A6" w:rsidRDefault="000104A6" w:rsidP="000104A6">
      <w:r w:rsidRPr="000104A6">
        <w:rPr>
          <w:b/>
          <w:bCs/>
        </w:rPr>
        <w:t>Software Use:</w:t>
      </w:r>
    </w:p>
    <w:p w14:paraId="607A12CD" w14:textId="77777777" w:rsidR="000104A6" w:rsidRPr="000104A6" w:rsidRDefault="000104A6" w:rsidP="000104A6">
      <w:r w:rsidRPr="000104A6">
        <w:t xml:space="preserve">All faculty, staff and students </w:t>
      </w:r>
      <w:proofErr w:type="gramStart"/>
      <w:r w:rsidRPr="000104A6">
        <w:t>of</w:t>
      </w:r>
      <w:proofErr w:type="gramEnd"/>
      <w:r w:rsidRPr="000104A6">
        <w:t xml:space="preserve"> the University are required and expected to obey the laws and legal agreements governing software use. Failure to do so can lead to monetary damages and/or criminal penalties for the individual violator. Because such violations are also against </w:t>
      </w:r>
      <w:proofErr w:type="gramStart"/>
      <w:r w:rsidRPr="000104A6">
        <w:t>University</w:t>
      </w:r>
      <w:proofErr w:type="gramEnd"/>
      <w:r w:rsidRPr="000104A6">
        <w:t xml:space="preserve"> policies and rules, disciplinary action will be taken as appropriate. </w:t>
      </w:r>
      <w:r w:rsidRPr="000104A6">
        <w:lastRenderedPageBreak/>
        <w:t>We, the members of the University of Florida community, pledge to hold ourselves and our peers to the highest standards of honesty and integrity.</w:t>
      </w:r>
    </w:p>
    <w:p w14:paraId="46302501" w14:textId="77777777" w:rsidR="000104A6" w:rsidRPr="000104A6" w:rsidRDefault="000104A6" w:rsidP="000104A6">
      <w:r w:rsidRPr="000104A6">
        <w:rPr>
          <w:b/>
          <w:bCs/>
        </w:rPr>
        <w:t>UF Counseling Services:</w:t>
      </w:r>
    </w:p>
    <w:p w14:paraId="40086BBC" w14:textId="77777777" w:rsidR="000104A6" w:rsidRPr="000104A6" w:rsidRDefault="000104A6" w:rsidP="000104A6">
      <w:r w:rsidRPr="000104A6">
        <w:t>Resources are available on-campus for students having personal problems or lacking clear career and academic goals which interfere with their academic performance. These resources include:</w:t>
      </w:r>
    </w:p>
    <w:p w14:paraId="1E19D301" w14:textId="77777777" w:rsidR="000104A6" w:rsidRPr="000104A6" w:rsidRDefault="000104A6" w:rsidP="000104A6">
      <w:pPr>
        <w:numPr>
          <w:ilvl w:val="0"/>
          <w:numId w:val="2"/>
        </w:numPr>
      </w:pPr>
      <w:r w:rsidRPr="000104A6">
        <w:t xml:space="preserve">University Counseling Center, 301 Peabody Hall, 392-1575, personal and career </w:t>
      </w:r>
      <w:proofErr w:type="gramStart"/>
      <w:r w:rsidRPr="000104A6">
        <w:t>counseling;</w:t>
      </w:r>
      <w:proofErr w:type="gramEnd"/>
    </w:p>
    <w:p w14:paraId="5FC0A0AF" w14:textId="77777777" w:rsidR="000104A6" w:rsidRPr="000104A6" w:rsidRDefault="000104A6" w:rsidP="000104A6">
      <w:pPr>
        <w:numPr>
          <w:ilvl w:val="0"/>
          <w:numId w:val="2"/>
        </w:numPr>
      </w:pPr>
      <w:r w:rsidRPr="000104A6">
        <w:t xml:space="preserve">Student Mental Health, Student Health Care Center, 392-1171, personal </w:t>
      </w:r>
      <w:proofErr w:type="gramStart"/>
      <w:r w:rsidRPr="000104A6">
        <w:t>counseling;</w:t>
      </w:r>
      <w:proofErr w:type="gramEnd"/>
    </w:p>
    <w:p w14:paraId="7BE132CF" w14:textId="77777777" w:rsidR="000104A6" w:rsidRPr="000104A6" w:rsidRDefault="000104A6" w:rsidP="000104A6">
      <w:pPr>
        <w:numPr>
          <w:ilvl w:val="0"/>
          <w:numId w:val="2"/>
        </w:numPr>
      </w:pPr>
      <w:r w:rsidRPr="000104A6">
        <w:t xml:space="preserve">Center for Sexual Assault/Abuse Recovery and Education (CARE), Student Health Care Center, 392-1161, sexual assault </w:t>
      </w:r>
      <w:proofErr w:type="gramStart"/>
      <w:r w:rsidRPr="000104A6">
        <w:t>counseling;</w:t>
      </w:r>
      <w:proofErr w:type="gramEnd"/>
    </w:p>
    <w:p w14:paraId="09673C38" w14:textId="77777777" w:rsidR="000104A6" w:rsidRPr="000104A6" w:rsidRDefault="000104A6" w:rsidP="000104A6">
      <w:pPr>
        <w:numPr>
          <w:ilvl w:val="0"/>
          <w:numId w:val="2"/>
        </w:numPr>
      </w:pPr>
      <w:r w:rsidRPr="000104A6">
        <w:t>Career Resource Center, Reitz Union, 392-1601, career development assistance and counseling.</w:t>
      </w:r>
    </w:p>
    <w:p w14:paraId="587DDE20" w14:textId="77777777" w:rsidR="000104A6" w:rsidRPr="000104A6" w:rsidRDefault="000104A6" w:rsidP="000104A6">
      <w:r w:rsidRPr="000104A6">
        <w:rPr>
          <w:b/>
          <w:bCs/>
        </w:rPr>
        <w:t>Commitment to a Safe and Inclusive Learning Environment:</w:t>
      </w:r>
    </w:p>
    <w:p w14:paraId="6FBF4AC9" w14:textId="77777777" w:rsidR="000104A6" w:rsidRPr="000104A6" w:rsidRDefault="000104A6" w:rsidP="000104A6">
      <w:r w:rsidRPr="000104A6">
        <w:t>The Herbert Wertheim College of Engineering values broad diversity within our community and is committed to individual and group empowerment, inclusion, and the elimination of discrimination.</w:t>
      </w:r>
    </w:p>
    <w:p w14:paraId="18A50712" w14:textId="77777777" w:rsidR="000104A6" w:rsidRPr="000104A6" w:rsidRDefault="000104A6" w:rsidP="000104A6">
      <w:r w:rsidRPr="000104A6">
        <w:t>It is expected that every person in this class will treat one another with dignity and respect regardless of gender, sexuality, disability, age, socioeconomic status, ethnicity, race, and culture.</w:t>
      </w:r>
    </w:p>
    <w:p w14:paraId="0E0CEF5F" w14:textId="77777777" w:rsidR="000104A6" w:rsidRPr="000104A6" w:rsidRDefault="000104A6" w:rsidP="000104A6">
      <w:r w:rsidRPr="000104A6">
        <w:t xml:space="preserve">If you feel like your performance in class is being impacted by discrimination or harassment of any </w:t>
      </w:r>
      <w:proofErr w:type="gramStart"/>
      <w:r w:rsidRPr="000104A6">
        <w:t>kind</w:t>
      </w:r>
      <w:proofErr w:type="gramEnd"/>
      <w:r w:rsidRPr="000104A6">
        <w:t xml:space="preserve"> please contact your instructor or any of the following:</w:t>
      </w:r>
    </w:p>
    <w:p w14:paraId="2147BAF9" w14:textId="77777777" w:rsidR="000104A6" w:rsidRPr="000104A6" w:rsidRDefault="000104A6" w:rsidP="000104A6">
      <w:r w:rsidRPr="000104A6">
        <w:t>Your academic advisor or Graduate Program Coordinator</w:t>
      </w:r>
    </w:p>
    <w:p w14:paraId="57DCA36B" w14:textId="77777777" w:rsidR="000104A6" w:rsidRPr="000104A6" w:rsidRDefault="000104A6" w:rsidP="000104A6">
      <w:pPr>
        <w:numPr>
          <w:ilvl w:val="0"/>
          <w:numId w:val="3"/>
        </w:numPr>
      </w:pPr>
      <w:r w:rsidRPr="000104A6">
        <w:t>Robin Bielling, Director of Human Resources, 352-392-0903, rbielling@eng.ufl.edu</w:t>
      </w:r>
    </w:p>
    <w:p w14:paraId="46762C38" w14:textId="77777777" w:rsidR="000104A6" w:rsidRPr="000104A6" w:rsidRDefault="000104A6" w:rsidP="000104A6">
      <w:pPr>
        <w:numPr>
          <w:ilvl w:val="0"/>
          <w:numId w:val="3"/>
        </w:numPr>
      </w:pPr>
      <w:r w:rsidRPr="000104A6">
        <w:t>Curtis Taylor, Associate Dean of Student Affairs, 352-392-2177, taylor@eng.ufl.edu</w:t>
      </w:r>
    </w:p>
    <w:p w14:paraId="3E8B2CD9" w14:textId="77777777" w:rsidR="000104A6" w:rsidRPr="000104A6" w:rsidRDefault="000104A6" w:rsidP="000104A6">
      <w:pPr>
        <w:numPr>
          <w:ilvl w:val="0"/>
          <w:numId w:val="3"/>
        </w:numPr>
      </w:pPr>
      <w:r w:rsidRPr="000104A6">
        <w:t>Toshikazu Nishida, Associate Dean of Academic Affairs, 352-392-0943, nishida@ufl.edu</w:t>
      </w:r>
    </w:p>
    <w:p w14:paraId="7C4445C3" w14:textId="77777777" w:rsidR="000104A6" w:rsidRPr="000104A6" w:rsidRDefault="000104A6" w:rsidP="000104A6">
      <w:r w:rsidRPr="000104A6">
        <w:t>Sexual Discrimination, Harassment, Assault, or Violence</w:t>
      </w:r>
    </w:p>
    <w:p w14:paraId="62354E3D" w14:textId="77777777" w:rsidR="000104A6" w:rsidRPr="000104A6" w:rsidRDefault="000104A6" w:rsidP="000104A6">
      <w:r w:rsidRPr="000104A6">
        <w:lastRenderedPageBreak/>
        <w:t>If you or a friend has been subjected to sexual discrimination, sexual harassment, sexual assault, or violence contact the Office of Title IX Compliance, located at Yon Hall Room 427, 1908 Stadium Road, (352) 273-1094, title-ix@ufl.edu</w:t>
      </w:r>
    </w:p>
    <w:p w14:paraId="32075280" w14:textId="77777777" w:rsidR="000104A6" w:rsidRPr="000104A6" w:rsidRDefault="000104A6" w:rsidP="000104A6">
      <w:r w:rsidRPr="000104A6">
        <w:rPr>
          <w:b/>
          <w:bCs/>
        </w:rPr>
        <w:t>Student Questionnaire:</w:t>
      </w:r>
      <w:r w:rsidRPr="000104A6">
        <w:t> </w:t>
      </w:r>
      <w:hyperlink r:id="rId6" w:tgtFrame="_blank" w:history="1">
        <w:r w:rsidRPr="000104A6">
          <w:rPr>
            <w:rStyle w:val="Hyperlink"/>
          </w:rPr>
          <w:t>https://forms.office.com/r/8t2R6BK0P5Links to an external site.</w:t>
        </w:r>
      </w:hyperlink>
    </w:p>
    <w:p w14:paraId="4D40C035" w14:textId="37A1F3DB" w:rsidR="000104A6" w:rsidRDefault="000104A6">
      <w:r>
        <w:tab/>
      </w:r>
      <w:r>
        <w:tab/>
      </w:r>
    </w:p>
    <w:sectPr w:rsidR="000104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3506B"/>
    <w:multiLevelType w:val="multilevel"/>
    <w:tmpl w:val="E208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4F4F91"/>
    <w:multiLevelType w:val="multilevel"/>
    <w:tmpl w:val="75A0E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F0368E"/>
    <w:multiLevelType w:val="multilevel"/>
    <w:tmpl w:val="54AC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7516364">
    <w:abstractNumId w:val="0"/>
  </w:num>
  <w:num w:numId="2" w16cid:durableId="684402643">
    <w:abstractNumId w:val="1"/>
  </w:num>
  <w:num w:numId="3" w16cid:durableId="795804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A6"/>
    <w:rsid w:val="000104A6"/>
    <w:rsid w:val="00E13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6A124"/>
  <w15:chartTrackingRefBased/>
  <w15:docId w15:val="{A0E19F95-C25E-4C35-8218-4BC98B58A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04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04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04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04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04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04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04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04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04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4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04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04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04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04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04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04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04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04A6"/>
    <w:rPr>
      <w:rFonts w:eastAsiaTheme="majorEastAsia" w:cstheme="majorBidi"/>
      <w:color w:val="272727" w:themeColor="text1" w:themeTint="D8"/>
    </w:rPr>
  </w:style>
  <w:style w:type="paragraph" w:styleId="Title">
    <w:name w:val="Title"/>
    <w:basedOn w:val="Normal"/>
    <w:next w:val="Normal"/>
    <w:link w:val="TitleChar"/>
    <w:uiPriority w:val="10"/>
    <w:qFormat/>
    <w:rsid w:val="000104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04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04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04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04A6"/>
    <w:pPr>
      <w:spacing w:before="160"/>
      <w:jc w:val="center"/>
    </w:pPr>
    <w:rPr>
      <w:i/>
      <w:iCs/>
      <w:color w:val="404040" w:themeColor="text1" w:themeTint="BF"/>
    </w:rPr>
  </w:style>
  <w:style w:type="character" w:customStyle="1" w:styleId="QuoteChar">
    <w:name w:val="Quote Char"/>
    <w:basedOn w:val="DefaultParagraphFont"/>
    <w:link w:val="Quote"/>
    <w:uiPriority w:val="29"/>
    <w:rsid w:val="000104A6"/>
    <w:rPr>
      <w:i/>
      <w:iCs/>
      <w:color w:val="404040" w:themeColor="text1" w:themeTint="BF"/>
    </w:rPr>
  </w:style>
  <w:style w:type="paragraph" w:styleId="ListParagraph">
    <w:name w:val="List Paragraph"/>
    <w:basedOn w:val="Normal"/>
    <w:uiPriority w:val="34"/>
    <w:qFormat/>
    <w:rsid w:val="000104A6"/>
    <w:pPr>
      <w:ind w:left="720"/>
      <w:contextualSpacing/>
    </w:pPr>
  </w:style>
  <w:style w:type="character" w:styleId="IntenseEmphasis">
    <w:name w:val="Intense Emphasis"/>
    <w:basedOn w:val="DefaultParagraphFont"/>
    <w:uiPriority w:val="21"/>
    <w:qFormat/>
    <w:rsid w:val="000104A6"/>
    <w:rPr>
      <w:i/>
      <w:iCs/>
      <w:color w:val="0F4761" w:themeColor="accent1" w:themeShade="BF"/>
    </w:rPr>
  </w:style>
  <w:style w:type="paragraph" w:styleId="IntenseQuote">
    <w:name w:val="Intense Quote"/>
    <w:basedOn w:val="Normal"/>
    <w:next w:val="Normal"/>
    <w:link w:val="IntenseQuoteChar"/>
    <w:uiPriority w:val="30"/>
    <w:qFormat/>
    <w:rsid w:val="000104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04A6"/>
    <w:rPr>
      <w:i/>
      <w:iCs/>
      <w:color w:val="0F4761" w:themeColor="accent1" w:themeShade="BF"/>
    </w:rPr>
  </w:style>
  <w:style w:type="character" w:styleId="IntenseReference">
    <w:name w:val="Intense Reference"/>
    <w:basedOn w:val="DefaultParagraphFont"/>
    <w:uiPriority w:val="32"/>
    <w:qFormat/>
    <w:rsid w:val="000104A6"/>
    <w:rPr>
      <w:b/>
      <w:bCs/>
      <w:smallCaps/>
      <w:color w:val="0F4761" w:themeColor="accent1" w:themeShade="BF"/>
      <w:spacing w:val="5"/>
    </w:rPr>
  </w:style>
  <w:style w:type="character" w:styleId="Hyperlink">
    <w:name w:val="Hyperlink"/>
    <w:basedOn w:val="DefaultParagraphFont"/>
    <w:uiPriority w:val="99"/>
    <w:unhideWhenUsed/>
    <w:rsid w:val="000104A6"/>
    <w:rPr>
      <w:color w:val="467886" w:themeColor="hyperlink"/>
      <w:u w:val="single"/>
    </w:rPr>
  </w:style>
  <w:style w:type="character" w:styleId="UnresolvedMention">
    <w:name w:val="Unresolved Mention"/>
    <w:basedOn w:val="DefaultParagraphFont"/>
    <w:uiPriority w:val="99"/>
    <w:semiHidden/>
    <w:unhideWhenUsed/>
    <w:rsid w:val="00010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961873">
      <w:bodyDiv w:val="1"/>
      <w:marLeft w:val="0"/>
      <w:marRight w:val="0"/>
      <w:marTop w:val="0"/>
      <w:marBottom w:val="0"/>
      <w:divBdr>
        <w:top w:val="none" w:sz="0" w:space="0" w:color="auto"/>
        <w:left w:val="none" w:sz="0" w:space="0" w:color="auto"/>
        <w:bottom w:val="none" w:sz="0" w:space="0" w:color="auto"/>
        <w:right w:val="none" w:sz="0" w:space="0" w:color="auto"/>
      </w:divBdr>
    </w:div>
    <w:div w:id="121859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r/8t2R6BK0P5" TargetMode="External"/><Relationship Id="rId5" Type="http://schemas.openxmlformats.org/officeDocument/2006/relationships/hyperlink" Target="http://elearning.ufl.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1830</Words>
  <Characters>10437</Characters>
  <Application>Microsoft Office Word</Application>
  <DocSecurity>0</DocSecurity>
  <Lines>86</Lines>
  <Paragraphs>24</Paragraphs>
  <ScaleCrop>false</ScaleCrop>
  <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Scholtz</dc:creator>
  <cp:keywords/>
  <dc:description/>
  <cp:lastModifiedBy>Richard Scholtz</cp:lastModifiedBy>
  <cp:revision>1</cp:revision>
  <dcterms:created xsi:type="dcterms:W3CDTF">2025-01-09T18:51:00Z</dcterms:created>
  <dcterms:modified xsi:type="dcterms:W3CDTF">2025-01-09T18:53:00Z</dcterms:modified>
</cp:coreProperties>
</file>