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7963" w14:textId="460950F1" w:rsidR="00955689" w:rsidRPr="001E21B7" w:rsidRDefault="00C06930" w:rsidP="001C18FE">
      <w:pPr>
        <w:jc w:val="center"/>
        <w:rPr>
          <w:b/>
          <w:sz w:val="24"/>
        </w:rPr>
      </w:pPr>
      <w:r w:rsidRPr="001E21B7">
        <w:rPr>
          <w:b/>
          <w:sz w:val="24"/>
        </w:rPr>
        <w:t xml:space="preserve">Applications in Biological Engineering </w:t>
      </w:r>
    </w:p>
    <w:p w14:paraId="11D2BD02" w14:textId="5680F27B" w:rsidR="00955689" w:rsidRPr="001E21B7" w:rsidRDefault="00BB37AC" w:rsidP="001C18FE">
      <w:pPr>
        <w:jc w:val="center"/>
      </w:pPr>
      <w:r w:rsidRPr="001E21B7">
        <w:t xml:space="preserve">ABE </w:t>
      </w:r>
      <w:r w:rsidR="00F433D1" w:rsidRPr="001E21B7">
        <w:t>3</w:t>
      </w:r>
      <w:r w:rsidRPr="001E21B7">
        <w:t>000c</w:t>
      </w:r>
      <w:r w:rsidR="00955689" w:rsidRPr="001E21B7">
        <w:t xml:space="preserve">   Section </w:t>
      </w:r>
      <w:r w:rsidRPr="001E21B7">
        <w:t>APP1 and APP2</w:t>
      </w:r>
    </w:p>
    <w:p w14:paraId="5CA9BABC" w14:textId="4699EEC9" w:rsidR="00955689" w:rsidRPr="000059DB" w:rsidRDefault="00955689" w:rsidP="001C18FE">
      <w:pPr>
        <w:jc w:val="center"/>
        <w:rPr>
          <w:color w:val="0070C0"/>
        </w:rPr>
      </w:pPr>
      <w:r w:rsidRPr="000059DB">
        <w:rPr>
          <w:b/>
          <w:i/>
        </w:rPr>
        <w:t>Class Periods:</w:t>
      </w:r>
      <w:r w:rsidRPr="000059DB">
        <w:t xml:space="preserve">   </w:t>
      </w:r>
      <w:r w:rsidR="00BB37AC">
        <w:rPr>
          <w:color w:val="0070C0"/>
        </w:rPr>
        <w:t xml:space="preserve">MWF </w:t>
      </w:r>
      <w:r w:rsidR="00CE3A72">
        <w:rPr>
          <w:color w:val="0070C0"/>
        </w:rPr>
        <w:t xml:space="preserve">period </w:t>
      </w:r>
      <w:r w:rsidR="005F7F3E">
        <w:rPr>
          <w:color w:val="0070C0"/>
        </w:rPr>
        <w:t xml:space="preserve">4 APP1 LAB, F 4,5,6 APP2 Lab </w:t>
      </w:r>
      <w:r w:rsidR="001A6316">
        <w:rPr>
          <w:color w:val="0070C0"/>
        </w:rPr>
        <w:t>5,6,7</w:t>
      </w:r>
    </w:p>
    <w:p w14:paraId="766DA34C" w14:textId="659DDD15" w:rsidR="00955689" w:rsidRPr="000059DB" w:rsidRDefault="00955689" w:rsidP="001C18FE">
      <w:pPr>
        <w:jc w:val="center"/>
        <w:rPr>
          <w:color w:val="0070C0"/>
        </w:rPr>
      </w:pPr>
      <w:r w:rsidRPr="000059DB">
        <w:rPr>
          <w:b/>
          <w:i/>
        </w:rPr>
        <w:t>Location:</w:t>
      </w:r>
      <w:r w:rsidRPr="000059DB">
        <w:t xml:space="preserve">   </w:t>
      </w:r>
      <w:r w:rsidR="001A6316">
        <w:rPr>
          <w:color w:val="0070C0"/>
        </w:rPr>
        <w:t>Frazier Rogers Hall 129 (lecture) Frazier Rogers Hall (Lab)</w:t>
      </w:r>
    </w:p>
    <w:p w14:paraId="671E951D" w14:textId="205BFE66" w:rsidR="00955689" w:rsidRPr="000059DB" w:rsidRDefault="00955689" w:rsidP="001C18FE">
      <w:pPr>
        <w:jc w:val="center"/>
        <w:rPr>
          <w:color w:val="0070C0"/>
        </w:rPr>
      </w:pPr>
      <w:r w:rsidRPr="000059DB">
        <w:rPr>
          <w:b/>
          <w:i/>
        </w:rPr>
        <w:t>Academic Term:</w:t>
      </w:r>
      <w:r w:rsidRPr="000059DB">
        <w:t xml:space="preserve">  </w:t>
      </w:r>
      <w:r w:rsidR="001A6316">
        <w:rPr>
          <w:color w:val="0070C0"/>
        </w:rPr>
        <w:t>Spring 2026</w:t>
      </w:r>
    </w:p>
    <w:p w14:paraId="1B4B7924" w14:textId="77777777" w:rsidR="00955689" w:rsidRPr="000059DB" w:rsidRDefault="00955689">
      <w:pPr>
        <w:rPr>
          <w:u w:val="single"/>
        </w:rPr>
      </w:pPr>
    </w:p>
    <w:p w14:paraId="39731A5E" w14:textId="77777777" w:rsidR="00955689" w:rsidRPr="000059DB" w:rsidRDefault="00955689">
      <w:pPr>
        <w:rPr>
          <w:b/>
          <w:i/>
        </w:rPr>
      </w:pPr>
      <w:r w:rsidRPr="000059DB">
        <w:rPr>
          <w:b/>
          <w:i/>
        </w:rPr>
        <w:t>Instructor:</w:t>
      </w:r>
    </w:p>
    <w:p w14:paraId="0FC75C25" w14:textId="2B5EB0DD" w:rsidR="00955689" w:rsidRPr="000059DB" w:rsidRDefault="00955689">
      <w:pPr>
        <w:rPr>
          <w:color w:val="0070C0"/>
        </w:rPr>
      </w:pPr>
      <w:r w:rsidRPr="000059DB">
        <w:rPr>
          <w:color w:val="0070C0"/>
        </w:rPr>
        <w:t>Name</w:t>
      </w:r>
      <w:r w:rsidR="001A6316">
        <w:rPr>
          <w:color w:val="0070C0"/>
        </w:rPr>
        <w:t>: Melanie Correll, Ph.D.</w:t>
      </w:r>
    </w:p>
    <w:p w14:paraId="6E26C2AB" w14:textId="260A15A4" w:rsidR="00955689" w:rsidRPr="000059DB" w:rsidRDefault="001A6316">
      <w:pPr>
        <w:rPr>
          <w:color w:val="0070C0"/>
          <w:u w:val="single"/>
        </w:rPr>
      </w:pPr>
      <w:r>
        <w:rPr>
          <w:color w:val="0070C0"/>
          <w:u w:val="single"/>
        </w:rPr>
        <w:t>correllm@ufl.edu</w:t>
      </w:r>
    </w:p>
    <w:p w14:paraId="6007020C" w14:textId="6BB2A46D" w:rsidR="00955689" w:rsidRPr="000059DB" w:rsidRDefault="00620988">
      <w:pPr>
        <w:rPr>
          <w:color w:val="0070C0"/>
        </w:rPr>
      </w:pPr>
      <w:r>
        <w:rPr>
          <w:color w:val="0070C0"/>
        </w:rPr>
        <w:t>1-352-294-6722</w:t>
      </w:r>
    </w:p>
    <w:p w14:paraId="07E65DCE" w14:textId="77249BB1" w:rsidR="00955689" w:rsidRPr="000059DB" w:rsidRDefault="00955689">
      <w:pPr>
        <w:rPr>
          <w:color w:val="0070C0"/>
        </w:rPr>
      </w:pPr>
      <w:r w:rsidRPr="000059DB">
        <w:t xml:space="preserve">Office Hours:   </w:t>
      </w:r>
      <w:r w:rsidR="00620988">
        <w:rPr>
          <w:color w:val="0070C0"/>
        </w:rPr>
        <w:t xml:space="preserve">T 8 -9:30 am or with arrangements </w:t>
      </w:r>
      <w:r w:rsidR="00C01F17">
        <w:rPr>
          <w:color w:val="0070C0"/>
        </w:rPr>
        <w:t>correllm@ufl.edu</w:t>
      </w:r>
    </w:p>
    <w:p w14:paraId="2BA95A57" w14:textId="77777777" w:rsidR="00955689" w:rsidRPr="000059DB" w:rsidRDefault="00955689">
      <w:pPr>
        <w:rPr>
          <w:color w:val="0070C0"/>
        </w:rPr>
      </w:pPr>
    </w:p>
    <w:p w14:paraId="0B070F86" w14:textId="77777777" w:rsidR="005B1CED" w:rsidRPr="00615BC7" w:rsidRDefault="005B1CED" w:rsidP="005B1CED">
      <w:pPr>
        <w:rPr>
          <w:b/>
          <w:i/>
        </w:rPr>
      </w:pPr>
      <w:r w:rsidRPr="00615BC7">
        <w:rPr>
          <w:b/>
          <w:i/>
        </w:rPr>
        <w:t>Teaching Assistant</w:t>
      </w:r>
      <w:r>
        <w:rPr>
          <w:b/>
          <w:i/>
        </w:rPr>
        <w:t>/Peer Mentor/Supervised Teaching Student</w:t>
      </w:r>
      <w:r w:rsidRPr="00615BC7">
        <w:rPr>
          <w:b/>
          <w:i/>
        </w:rPr>
        <w:t>:</w:t>
      </w:r>
    </w:p>
    <w:p w14:paraId="28EB33F7" w14:textId="77777777" w:rsidR="005B1CED" w:rsidRPr="00615BC7" w:rsidRDefault="005B1CED" w:rsidP="005B1CED">
      <w:r w:rsidRPr="00615BC7">
        <w:t>Please contact through the Canvas website</w:t>
      </w:r>
    </w:p>
    <w:p w14:paraId="31A2D1C7" w14:textId="585DCEAB" w:rsidR="005B1CED" w:rsidRPr="00615BC7" w:rsidRDefault="00620988" w:rsidP="005B1CED">
      <w:pPr>
        <w:pStyle w:val="ListParagraph"/>
        <w:numPr>
          <w:ilvl w:val="0"/>
          <w:numId w:val="14"/>
        </w:numPr>
        <w:rPr>
          <w:u w:val="single"/>
        </w:rPr>
      </w:pPr>
      <w:r>
        <w:rPr>
          <w:color w:val="0070C0"/>
        </w:rPr>
        <w:t>TBD</w:t>
      </w:r>
    </w:p>
    <w:p w14:paraId="5B62D848" w14:textId="77777777" w:rsidR="00955689" w:rsidRPr="000059DB" w:rsidRDefault="00955689" w:rsidP="00955689">
      <w:pPr>
        <w:rPr>
          <w:u w:val="single"/>
        </w:rPr>
      </w:pPr>
    </w:p>
    <w:p w14:paraId="4060CB28" w14:textId="0D22E5A2" w:rsidR="00941300" w:rsidRPr="007E51C9" w:rsidRDefault="00941300" w:rsidP="00941300">
      <w:pPr>
        <w:spacing w:after="160" w:line="278" w:lineRule="auto"/>
      </w:pPr>
      <w:r w:rsidRPr="007E51C9">
        <w:rPr>
          <w:b/>
          <w:bCs/>
        </w:rPr>
        <w:t>Catalog Description:</w:t>
      </w:r>
      <w:r w:rsidRPr="007E51C9">
        <w:t> </w:t>
      </w:r>
      <w:r w:rsidRPr="007E51C9">
        <w:rPr>
          <w:i/>
          <w:iCs/>
        </w:rPr>
        <w:t> 3 credits.</w:t>
      </w:r>
      <w:r w:rsidRPr="007E51C9">
        <w:t>  Lecture approx. 2</w:t>
      </w:r>
      <w:r>
        <w:t>-3 (</w:t>
      </w:r>
      <w:r>
        <w:t xml:space="preserve">3 lectures on </w:t>
      </w:r>
      <w:r>
        <w:t>non</w:t>
      </w:r>
      <w:r>
        <w:t>-</w:t>
      </w:r>
      <w:r>
        <w:t>lab weeks)</w:t>
      </w:r>
      <w:r w:rsidRPr="007E51C9">
        <w:t xml:space="preserve"> hours with a 3-hour lab.</w:t>
      </w:r>
    </w:p>
    <w:p w14:paraId="5C5EA4A2" w14:textId="77777777" w:rsidR="00941300" w:rsidRPr="007E51C9" w:rsidRDefault="00941300" w:rsidP="00941300">
      <w:pPr>
        <w:spacing w:after="160" w:line="278" w:lineRule="auto"/>
      </w:pPr>
      <w:r w:rsidRPr="007E51C9">
        <w:t>Overview of the research and applications of Biological Engineering such as bioprocessing, biotechnology, transport processes, biosensors, bioremediation, biological materials, and biomedicine.  Hands-on experiments and course projects are required.  This course has two to three (on non-laboratory weeks), one-hour lectures and a three-hour lab during lab weeks. (</w:t>
      </w:r>
      <w:r w:rsidRPr="007E51C9">
        <w:rPr>
          <w:i/>
          <w:iCs/>
        </w:rPr>
        <w:t>Offered Spring</w:t>
      </w:r>
      <w:r w:rsidRPr="007E51C9">
        <w:t>)</w:t>
      </w:r>
    </w:p>
    <w:p w14:paraId="35DEB24B" w14:textId="77777777" w:rsidR="00941300" w:rsidRPr="007E51C9" w:rsidRDefault="00941300" w:rsidP="00941300">
      <w:pPr>
        <w:spacing w:after="160" w:line="278" w:lineRule="auto"/>
      </w:pPr>
      <w:r w:rsidRPr="007E51C9">
        <w:t> </w:t>
      </w:r>
    </w:p>
    <w:p w14:paraId="3B6AC01D" w14:textId="77777777" w:rsidR="00941300" w:rsidRPr="007E51C9" w:rsidRDefault="00941300" w:rsidP="00941300">
      <w:pPr>
        <w:spacing w:after="160" w:line="278" w:lineRule="auto"/>
      </w:pPr>
      <w:r w:rsidRPr="007E51C9">
        <w:rPr>
          <w:b/>
          <w:bCs/>
        </w:rPr>
        <w:t>Pre-requisites and Co-requisites:</w:t>
      </w:r>
      <w:r w:rsidRPr="007E51C9">
        <w:t>  Requires a junior-level standing in engineering or permission of both the instructor and the Agricultural and Biological Engineering Department.  It is also expected that the student has basic courses in calculus, chemistry, physics and biology.</w:t>
      </w:r>
    </w:p>
    <w:p w14:paraId="0958DC59" w14:textId="77777777" w:rsidR="00941300" w:rsidRPr="007E51C9" w:rsidRDefault="00941300" w:rsidP="00941300">
      <w:pPr>
        <w:spacing w:after="160" w:line="278" w:lineRule="auto"/>
      </w:pPr>
      <w:r w:rsidRPr="007E51C9">
        <w:t> </w:t>
      </w:r>
    </w:p>
    <w:p w14:paraId="310A0492" w14:textId="77777777" w:rsidR="00941300" w:rsidRPr="007E51C9" w:rsidRDefault="00941300" w:rsidP="00941300">
      <w:pPr>
        <w:spacing w:after="160" w:line="278" w:lineRule="auto"/>
      </w:pPr>
      <w:r w:rsidRPr="007E51C9">
        <w:rPr>
          <w:b/>
          <w:bCs/>
        </w:rPr>
        <w:t>Course Objectives:</w:t>
      </w:r>
    </w:p>
    <w:p w14:paraId="685E1E64" w14:textId="77777777" w:rsidR="00941300" w:rsidRPr="007E51C9" w:rsidRDefault="00941300" w:rsidP="00941300">
      <w:pPr>
        <w:numPr>
          <w:ilvl w:val="0"/>
          <w:numId w:val="29"/>
        </w:numPr>
        <w:spacing w:after="160" w:line="278" w:lineRule="auto"/>
      </w:pPr>
      <w:r w:rsidRPr="007E51C9">
        <w:rPr>
          <w:i/>
          <w:iCs/>
        </w:rPr>
        <w:t>Define/differentiate terminology, utilize equipment, and find recent advances in biological engineering (including areas of biomedicine, bioremediation, food production, bioprocessing, biotechnology, water reclamation, packaging)</w:t>
      </w:r>
    </w:p>
    <w:p w14:paraId="7DC0DBDC" w14:textId="77777777" w:rsidR="00941300" w:rsidRPr="007E51C9" w:rsidRDefault="00941300" w:rsidP="00941300">
      <w:pPr>
        <w:numPr>
          <w:ilvl w:val="0"/>
          <w:numId w:val="29"/>
        </w:numPr>
        <w:spacing w:after="160" w:line="278" w:lineRule="auto"/>
      </w:pPr>
      <w:r w:rsidRPr="007E51C9">
        <w:rPr>
          <w:i/>
          <w:iCs/>
        </w:rPr>
        <w:t>Solve problems in biological engineering</w:t>
      </w:r>
    </w:p>
    <w:p w14:paraId="6ABF7896" w14:textId="77777777" w:rsidR="00941300" w:rsidRPr="007E51C9" w:rsidRDefault="00941300" w:rsidP="00941300">
      <w:pPr>
        <w:numPr>
          <w:ilvl w:val="0"/>
          <w:numId w:val="29"/>
        </w:numPr>
        <w:spacing w:after="160" w:line="278" w:lineRule="auto"/>
      </w:pPr>
      <w:r w:rsidRPr="007E51C9">
        <w:rPr>
          <w:i/>
          <w:iCs/>
        </w:rPr>
        <w:t>Hands-on lab techniques used in Biological Engineering</w:t>
      </w:r>
    </w:p>
    <w:p w14:paraId="4E820176" w14:textId="77777777" w:rsidR="00941300" w:rsidRPr="007E51C9" w:rsidRDefault="00941300" w:rsidP="00941300">
      <w:pPr>
        <w:numPr>
          <w:ilvl w:val="0"/>
          <w:numId w:val="29"/>
        </w:numPr>
        <w:spacing w:after="160" w:line="278" w:lineRule="auto"/>
      </w:pPr>
      <w:r w:rsidRPr="007E51C9">
        <w:rPr>
          <w:i/>
          <w:iCs/>
        </w:rPr>
        <w:t>Understand Biological Engineering in terms of ethical and professional responsibilities in engineering situations and make informed judgments, which must consider the impact of engineering solutions in global, economic, environmental, and societal contexts in global and societal context (ABET Outcome 4)</w:t>
      </w:r>
    </w:p>
    <w:p w14:paraId="6C7EE614" w14:textId="77777777" w:rsidR="00941300" w:rsidRPr="007E51C9" w:rsidRDefault="00941300" w:rsidP="00941300">
      <w:pPr>
        <w:numPr>
          <w:ilvl w:val="0"/>
          <w:numId w:val="29"/>
        </w:numPr>
        <w:spacing w:after="160" w:line="278" w:lineRule="auto"/>
      </w:pPr>
      <w:r w:rsidRPr="007E51C9">
        <w:rPr>
          <w:i/>
          <w:iCs/>
        </w:rPr>
        <w:t>Develop and conduct appropriate experimentation, analyze and interpret data, and use engineering judgment to draw conclusions (ABET Outcome 6)</w:t>
      </w:r>
    </w:p>
    <w:p w14:paraId="5B4D81C7" w14:textId="77777777" w:rsidR="00941300" w:rsidRPr="007E51C9" w:rsidRDefault="00941300" w:rsidP="00941300">
      <w:pPr>
        <w:numPr>
          <w:ilvl w:val="0"/>
          <w:numId w:val="29"/>
        </w:numPr>
        <w:spacing w:after="160" w:line="278" w:lineRule="auto"/>
      </w:pPr>
      <w:r w:rsidRPr="007E51C9">
        <w:rPr>
          <w:i/>
          <w:iCs/>
        </w:rPr>
        <w:t>Demonstrate an ability to acquire and apply new knowledge as needed, using appropriate learning strategies (ABET Outcome 7)</w:t>
      </w:r>
    </w:p>
    <w:p w14:paraId="47789A84" w14:textId="77777777" w:rsidR="00941300" w:rsidRPr="007E51C9" w:rsidRDefault="00941300" w:rsidP="00941300">
      <w:pPr>
        <w:spacing w:after="160" w:line="278" w:lineRule="auto"/>
      </w:pPr>
      <w:r w:rsidRPr="007E51C9">
        <w:t> </w:t>
      </w:r>
    </w:p>
    <w:p w14:paraId="78CC9104" w14:textId="77777777" w:rsidR="00941300" w:rsidRPr="007E51C9" w:rsidRDefault="00941300" w:rsidP="00941300">
      <w:pPr>
        <w:spacing w:after="160" w:line="278" w:lineRule="auto"/>
      </w:pPr>
      <w:r w:rsidRPr="007E51C9">
        <w:t> </w:t>
      </w:r>
    </w:p>
    <w:p w14:paraId="5AE44934" w14:textId="77777777" w:rsidR="00941300" w:rsidRPr="007E51C9" w:rsidRDefault="00941300" w:rsidP="00941300">
      <w:pPr>
        <w:spacing w:after="160" w:line="278" w:lineRule="auto"/>
      </w:pPr>
      <w:r w:rsidRPr="007E51C9">
        <w:rPr>
          <w:b/>
          <w:bCs/>
        </w:rPr>
        <w:t>Contribution of course to meeting the professional component for ABET</w:t>
      </w:r>
      <w:r w:rsidRPr="007E51C9">
        <w:t>:</w:t>
      </w:r>
    </w:p>
    <w:p w14:paraId="02D92863" w14:textId="77777777" w:rsidR="00941300" w:rsidRPr="007E51C9" w:rsidRDefault="00941300" w:rsidP="00941300">
      <w:pPr>
        <w:spacing w:after="160" w:line="278" w:lineRule="auto"/>
      </w:pPr>
      <w:r w:rsidRPr="007E51C9">
        <w:t>Contributes 3 credit hours toward meeting the minimum 48 credit hours of Engineering Topics in the basic-level curriculum for the Bachelor of Science Degree in Biological Engineering.  </w:t>
      </w:r>
    </w:p>
    <w:p w14:paraId="6E1DB7A9" w14:textId="77777777" w:rsidR="001C18FE" w:rsidRPr="000059DB" w:rsidRDefault="001C18FE" w:rsidP="004547C4">
      <w:pPr>
        <w:rPr>
          <w:b/>
          <w:i/>
        </w:rPr>
      </w:pPr>
      <w:r w:rsidRPr="000059DB">
        <w:rPr>
          <w:b/>
          <w:i/>
        </w:rPr>
        <w:t>Materials and Supply Fees</w:t>
      </w:r>
    </w:p>
    <w:p w14:paraId="051BCF93" w14:textId="31018439" w:rsidR="001C18FE" w:rsidRPr="000059DB" w:rsidRDefault="00C76C8A" w:rsidP="004547C4">
      <w:pPr>
        <w:rPr>
          <w:color w:val="0070C0"/>
        </w:rPr>
      </w:pPr>
      <w:r>
        <w:rPr>
          <w:color w:val="0070C0"/>
        </w:rPr>
        <w:t>Lab supply fees $</w:t>
      </w:r>
      <w:r w:rsidR="00A34A51">
        <w:rPr>
          <w:color w:val="0070C0"/>
        </w:rPr>
        <w:t>64.13</w:t>
      </w:r>
    </w:p>
    <w:p w14:paraId="16F6F393" w14:textId="77777777" w:rsidR="001C18FE" w:rsidRPr="000059DB" w:rsidRDefault="001C18FE" w:rsidP="004547C4">
      <w:pPr>
        <w:rPr>
          <w:color w:val="0070C0"/>
        </w:rPr>
      </w:pPr>
    </w:p>
    <w:p w14:paraId="5E5B4AC2" w14:textId="77777777" w:rsidR="004643F0" w:rsidRPr="007E51C9" w:rsidRDefault="004643F0" w:rsidP="004643F0">
      <w:pPr>
        <w:spacing w:after="160" w:line="278" w:lineRule="auto"/>
      </w:pPr>
      <w:r w:rsidRPr="007E51C9">
        <w:rPr>
          <w:b/>
          <w:bCs/>
        </w:rPr>
        <w:t>Relationship of course to ABET program outcomes (1-7): </w:t>
      </w:r>
      <w:r w:rsidRPr="007E51C9">
        <w:t>This course addresses outcomes 2,3,4,5,6, and 7 but assesses outcomes 3, 4 and 7.</w:t>
      </w:r>
    </w:p>
    <w:tbl>
      <w:tblPr>
        <w:tblStyle w:val="TableGrid"/>
        <w:tblW w:w="0" w:type="auto"/>
        <w:tblInd w:w="20" w:type="dxa"/>
        <w:tblLook w:val="04A0" w:firstRow="1" w:lastRow="0" w:firstColumn="1" w:lastColumn="0" w:noHBand="0" w:noVBand="1"/>
      </w:tblPr>
      <w:tblGrid>
        <w:gridCol w:w="5386"/>
        <w:gridCol w:w="5384"/>
      </w:tblGrid>
      <w:tr w:rsidR="00F433D1" w:rsidRPr="000059DB" w14:paraId="4266437F" w14:textId="77777777" w:rsidTr="009C609B">
        <w:tc>
          <w:tcPr>
            <w:tcW w:w="5388" w:type="dxa"/>
            <w:shd w:val="clear" w:color="auto" w:fill="BDD6EE" w:themeFill="accent1" w:themeFillTint="66"/>
          </w:tcPr>
          <w:p w14:paraId="77451F1B" w14:textId="77777777" w:rsidR="00F433D1" w:rsidRPr="000059DB" w:rsidRDefault="00F433D1">
            <w:pPr>
              <w:rPr>
                <w:b/>
              </w:rPr>
            </w:pPr>
            <w:r w:rsidRPr="000059DB">
              <w:rPr>
                <w:b/>
              </w:rPr>
              <w:t>Outcome</w:t>
            </w:r>
          </w:p>
        </w:tc>
        <w:tc>
          <w:tcPr>
            <w:tcW w:w="5387" w:type="dxa"/>
            <w:shd w:val="clear" w:color="auto" w:fill="BDD6EE" w:themeFill="accent1" w:themeFillTint="66"/>
          </w:tcPr>
          <w:p w14:paraId="31C735C3" w14:textId="77777777" w:rsidR="00F433D1" w:rsidRPr="000059DB" w:rsidRDefault="00F433D1">
            <w:pPr>
              <w:rPr>
                <w:b/>
                <w:vertAlign w:val="superscript"/>
              </w:rPr>
            </w:pPr>
            <w:r w:rsidRPr="000059DB">
              <w:rPr>
                <w:b/>
              </w:rPr>
              <w:t>Coverage</w:t>
            </w:r>
            <w:r w:rsidRPr="000059DB">
              <w:rPr>
                <w:b/>
                <w:vertAlign w:val="superscript"/>
              </w:rPr>
              <w:t>*</w:t>
            </w:r>
          </w:p>
        </w:tc>
      </w:tr>
      <w:tr w:rsidR="00D2542F" w:rsidRPr="000059DB" w14:paraId="6B932233" w14:textId="77777777" w:rsidTr="009C609B">
        <w:tc>
          <w:tcPr>
            <w:tcW w:w="5388" w:type="dxa"/>
          </w:tcPr>
          <w:p w14:paraId="683827D1" w14:textId="679B70B7" w:rsidR="00F433D1" w:rsidRPr="009C609B" w:rsidRDefault="009C609B" w:rsidP="009C609B">
            <w:pPr>
              <w:numPr>
                <w:ilvl w:val="0"/>
                <w:numId w:val="23"/>
              </w:numPr>
              <w:shd w:val="clear" w:color="auto" w:fill="FFFFFF"/>
              <w:ind w:left="374"/>
            </w:pPr>
            <w:r w:rsidRPr="009C609B">
              <w:t>An ability to identify, formulate, and solve complex engineering problems by applying principles of engineering, science, and mathematics</w:t>
            </w:r>
          </w:p>
        </w:tc>
        <w:tc>
          <w:tcPr>
            <w:tcW w:w="5387" w:type="dxa"/>
          </w:tcPr>
          <w:p w14:paraId="4D5C5E1B" w14:textId="7692CB46" w:rsidR="00F433D1" w:rsidRPr="000059DB" w:rsidRDefault="00DC1A40">
            <w:pPr>
              <w:rPr>
                <w:color w:val="0070C0"/>
              </w:rPr>
            </w:pPr>
            <w:r>
              <w:rPr>
                <w:color w:val="0070C0"/>
              </w:rPr>
              <w:t>Low</w:t>
            </w:r>
          </w:p>
        </w:tc>
      </w:tr>
      <w:tr w:rsidR="00D2542F" w:rsidRPr="000059DB" w14:paraId="13B552C0" w14:textId="77777777" w:rsidTr="009C609B">
        <w:tc>
          <w:tcPr>
            <w:tcW w:w="5388" w:type="dxa"/>
          </w:tcPr>
          <w:p w14:paraId="0693EA0E" w14:textId="1FB6A3FF" w:rsidR="009C609B" w:rsidRPr="009C609B" w:rsidRDefault="009C609B" w:rsidP="009C609B">
            <w:pPr>
              <w:numPr>
                <w:ilvl w:val="0"/>
                <w:numId w:val="23"/>
              </w:numPr>
              <w:shd w:val="clear" w:color="auto" w:fill="FFFFFF"/>
              <w:ind w:left="374"/>
            </w:pPr>
            <w:r w:rsidRPr="009C609B">
              <w:t>An ability to apply engineering design to produce solutions that meet specified needs with consideration of public health, safety, and welfare, as well as global, cultural, social, environmental, and economic factors</w:t>
            </w:r>
          </w:p>
        </w:tc>
        <w:tc>
          <w:tcPr>
            <w:tcW w:w="5387" w:type="dxa"/>
          </w:tcPr>
          <w:p w14:paraId="7386C15F" w14:textId="1891761F" w:rsidR="00F433D1" w:rsidRPr="000059DB" w:rsidRDefault="00DC1A40">
            <w:pPr>
              <w:rPr>
                <w:color w:val="0070C0"/>
              </w:rPr>
            </w:pPr>
            <w:r>
              <w:rPr>
                <w:color w:val="0070C0"/>
              </w:rPr>
              <w:t>Medium</w:t>
            </w:r>
          </w:p>
        </w:tc>
      </w:tr>
      <w:tr w:rsidR="00D2542F" w:rsidRPr="000059DB" w14:paraId="1677A51A" w14:textId="77777777" w:rsidTr="009C609B">
        <w:tc>
          <w:tcPr>
            <w:tcW w:w="5388" w:type="dxa"/>
          </w:tcPr>
          <w:p w14:paraId="2E343F55" w14:textId="65EF1CDC" w:rsidR="00F433D1" w:rsidRPr="009C609B" w:rsidRDefault="009C609B" w:rsidP="009C609B">
            <w:pPr>
              <w:numPr>
                <w:ilvl w:val="0"/>
                <w:numId w:val="23"/>
              </w:numPr>
              <w:shd w:val="clear" w:color="auto" w:fill="FFFFFF"/>
              <w:ind w:left="374"/>
            </w:pPr>
            <w:r w:rsidRPr="009C609B">
              <w:t>An ability to communicate effectively with a range of audiences</w:t>
            </w:r>
          </w:p>
        </w:tc>
        <w:tc>
          <w:tcPr>
            <w:tcW w:w="5387" w:type="dxa"/>
          </w:tcPr>
          <w:p w14:paraId="256E6078" w14:textId="2C851352" w:rsidR="00F433D1" w:rsidRPr="000059DB" w:rsidRDefault="00DC1A40">
            <w:pPr>
              <w:rPr>
                <w:color w:val="0070C0"/>
              </w:rPr>
            </w:pPr>
            <w:r>
              <w:rPr>
                <w:color w:val="0070C0"/>
              </w:rPr>
              <w:t>High</w:t>
            </w:r>
          </w:p>
        </w:tc>
      </w:tr>
      <w:tr w:rsidR="00D2542F" w:rsidRPr="000059DB" w14:paraId="3BC33291" w14:textId="77777777" w:rsidTr="009C609B">
        <w:tc>
          <w:tcPr>
            <w:tcW w:w="5388" w:type="dxa"/>
          </w:tcPr>
          <w:p w14:paraId="07059131" w14:textId="3E829963" w:rsidR="00F433D1" w:rsidRPr="009C609B" w:rsidRDefault="009C609B" w:rsidP="009C609B">
            <w:pPr>
              <w:numPr>
                <w:ilvl w:val="0"/>
                <w:numId w:val="23"/>
              </w:numPr>
              <w:shd w:val="clear" w:color="auto" w:fill="FFFFFF"/>
              <w:ind w:left="374"/>
            </w:pPr>
            <w:r w:rsidRPr="009C609B">
              <w:t>An ability to recognize ethical and professional responsibilities in engineering situations and make informed judgments, which must consider the impact of engineering solutions in global, economic, environmental, and societal contexts</w:t>
            </w:r>
          </w:p>
        </w:tc>
        <w:tc>
          <w:tcPr>
            <w:tcW w:w="5387" w:type="dxa"/>
          </w:tcPr>
          <w:p w14:paraId="7B9FC7DC" w14:textId="701DD9C8" w:rsidR="00F433D1" w:rsidRPr="000059DB" w:rsidRDefault="00DC1A40">
            <w:pPr>
              <w:rPr>
                <w:color w:val="0070C0"/>
              </w:rPr>
            </w:pPr>
            <w:r>
              <w:rPr>
                <w:color w:val="0070C0"/>
              </w:rPr>
              <w:t>Low</w:t>
            </w:r>
          </w:p>
        </w:tc>
      </w:tr>
      <w:tr w:rsidR="00D2542F" w:rsidRPr="000059DB" w14:paraId="647A2231" w14:textId="77777777" w:rsidTr="009C609B">
        <w:tc>
          <w:tcPr>
            <w:tcW w:w="5390" w:type="dxa"/>
          </w:tcPr>
          <w:p w14:paraId="4A77B107" w14:textId="7C1568F9" w:rsidR="00F433D1" w:rsidRPr="009C609B" w:rsidRDefault="009C609B" w:rsidP="009C609B">
            <w:pPr>
              <w:pStyle w:val="ListParagraph"/>
              <w:numPr>
                <w:ilvl w:val="0"/>
                <w:numId w:val="23"/>
              </w:numPr>
              <w:shd w:val="clear" w:color="auto" w:fill="FFFFFF"/>
            </w:pPr>
            <w:r w:rsidRPr="009C609B">
              <w:t>An ability to function effectively on a team whose members together provide leadership, create a collaborative environment, establish goals, plan tasks, and meet objectives</w:t>
            </w:r>
          </w:p>
        </w:tc>
        <w:tc>
          <w:tcPr>
            <w:tcW w:w="5390" w:type="dxa"/>
          </w:tcPr>
          <w:p w14:paraId="6CCF36E7" w14:textId="624167AE" w:rsidR="00F433D1" w:rsidRPr="000059DB" w:rsidRDefault="00DC1A40">
            <w:pPr>
              <w:rPr>
                <w:color w:val="0070C0"/>
              </w:rPr>
            </w:pPr>
            <w:r>
              <w:rPr>
                <w:color w:val="0070C0"/>
              </w:rPr>
              <w:t>Medium</w:t>
            </w:r>
          </w:p>
        </w:tc>
      </w:tr>
      <w:tr w:rsidR="00D2542F" w:rsidRPr="000059DB" w14:paraId="4637A3F0" w14:textId="77777777" w:rsidTr="009C609B">
        <w:tc>
          <w:tcPr>
            <w:tcW w:w="5393" w:type="dxa"/>
          </w:tcPr>
          <w:p w14:paraId="3C7EAFC1" w14:textId="1C4CEF80" w:rsidR="00F433D1" w:rsidRPr="009C609B" w:rsidRDefault="009C609B" w:rsidP="009C609B">
            <w:pPr>
              <w:pStyle w:val="ListParagraph"/>
              <w:numPr>
                <w:ilvl w:val="0"/>
                <w:numId w:val="23"/>
              </w:numPr>
              <w:shd w:val="clear" w:color="auto" w:fill="FFFFFF"/>
            </w:pPr>
            <w:r w:rsidRPr="009C609B">
              <w:lastRenderedPageBreak/>
              <w:t>An ability to develop and conduct appropriate experimentation, analyze and interpret data, and use engineering judgment to draw conclusions</w:t>
            </w:r>
          </w:p>
        </w:tc>
        <w:tc>
          <w:tcPr>
            <w:tcW w:w="5392" w:type="dxa"/>
          </w:tcPr>
          <w:p w14:paraId="632965EA" w14:textId="0A2AA298" w:rsidR="00F433D1" w:rsidRPr="000059DB" w:rsidRDefault="00BC211D">
            <w:pPr>
              <w:rPr>
                <w:color w:val="0070C0"/>
              </w:rPr>
            </w:pPr>
            <w:r>
              <w:rPr>
                <w:color w:val="0070C0"/>
              </w:rPr>
              <w:t>High</w:t>
            </w:r>
          </w:p>
        </w:tc>
      </w:tr>
      <w:tr w:rsidR="00D2542F" w:rsidRPr="000059DB" w14:paraId="2B11A4BD" w14:textId="77777777" w:rsidTr="009C609B">
        <w:trPr>
          <w:trHeight w:val="413"/>
        </w:trPr>
        <w:tc>
          <w:tcPr>
            <w:tcW w:w="5395" w:type="dxa"/>
          </w:tcPr>
          <w:p w14:paraId="5F991789" w14:textId="4E8CC5C2" w:rsidR="00F433D1" w:rsidRPr="009C609B" w:rsidRDefault="009C609B" w:rsidP="009C609B">
            <w:pPr>
              <w:pStyle w:val="ListParagraph"/>
              <w:numPr>
                <w:ilvl w:val="0"/>
                <w:numId w:val="23"/>
              </w:numPr>
              <w:shd w:val="clear" w:color="auto" w:fill="FFFFFF"/>
            </w:pPr>
            <w:r w:rsidRPr="009C609B">
              <w:t>An ability to acquire and apply new knowledge as needed, using appropriate learning strategies</w:t>
            </w:r>
          </w:p>
        </w:tc>
        <w:tc>
          <w:tcPr>
            <w:tcW w:w="5395" w:type="dxa"/>
          </w:tcPr>
          <w:p w14:paraId="0F28CB73" w14:textId="7712F6A9" w:rsidR="00F433D1" w:rsidRPr="000059DB" w:rsidRDefault="00BC211D">
            <w:pPr>
              <w:rPr>
                <w:color w:val="0070C0"/>
              </w:rPr>
            </w:pPr>
            <w:r>
              <w:rPr>
                <w:color w:val="0070C0"/>
              </w:rPr>
              <w:t>High</w:t>
            </w:r>
          </w:p>
        </w:tc>
      </w:tr>
    </w:tbl>
    <w:p w14:paraId="29162B13" w14:textId="3876D8DD" w:rsidR="00F433D1" w:rsidRPr="000059DB" w:rsidRDefault="00F433D1" w:rsidP="00F433D1">
      <w:pPr>
        <w:ind w:left="360"/>
        <w:rPr>
          <w:color w:val="0070C0"/>
        </w:rPr>
      </w:pPr>
      <w:r w:rsidRPr="000059DB">
        <w:rPr>
          <w:color w:val="0070C0"/>
          <w:vertAlign w:val="superscript"/>
        </w:rPr>
        <w:t>*</w:t>
      </w:r>
      <w:r w:rsidRPr="000059DB">
        <w:rPr>
          <w:color w:val="0070C0"/>
        </w:rPr>
        <w:t xml:space="preserve">Coverage is given as high, medium, or low.  An empty box indicates that this outcome is not </w:t>
      </w:r>
      <w:r w:rsidR="00467129" w:rsidRPr="000059DB">
        <w:rPr>
          <w:color w:val="0070C0"/>
        </w:rPr>
        <w:t>covered or assessed in</w:t>
      </w:r>
      <w:r w:rsidRPr="000059DB">
        <w:rPr>
          <w:color w:val="0070C0"/>
        </w:rPr>
        <w:t xml:space="preserve"> the course.</w:t>
      </w:r>
    </w:p>
    <w:p w14:paraId="527F3C29" w14:textId="22066E35" w:rsidR="00F433D1" w:rsidRPr="000059DB" w:rsidRDefault="00F433D1">
      <w:pPr>
        <w:rPr>
          <w:b/>
          <w:i/>
        </w:rPr>
      </w:pPr>
    </w:p>
    <w:p w14:paraId="7633DCF0" w14:textId="77777777" w:rsidR="001C18FE" w:rsidRPr="000059DB" w:rsidRDefault="001C18FE" w:rsidP="001C18FE">
      <w:pPr>
        <w:rPr>
          <w:b/>
          <w:i/>
        </w:rPr>
      </w:pPr>
      <w:r w:rsidRPr="000059DB">
        <w:rPr>
          <w:b/>
          <w:i/>
        </w:rPr>
        <w:t xml:space="preserve">Required Textbooks and Software </w:t>
      </w:r>
    </w:p>
    <w:p w14:paraId="05A14EBE" w14:textId="6BEC1608" w:rsidR="001C18FE" w:rsidRPr="000059DB" w:rsidRDefault="00BC211D" w:rsidP="001C18FE">
      <w:pPr>
        <w:pStyle w:val="ListParagraph"/>
        <w:numPr>
          <w:ilvl w:val="0"/>
          <w:numId w:val="16"/>
        </w:numPr>
      </w:pPr>
      <w:r>
        <w:t>None required, content needed for the course will be provided on CANVAS or linked to available m</w:t>
      </w:r>
      <w:r w:rsidR="002A64B7">
        <w:t>aterials to cover course content.</w:t>
      </w:r>
      <w:r>
        <w:t>.</w:t>
      </w:r>
    </w:p>
    <w:p w14:paraId="0A073A0D" w14:textId="77777777" w:rsidR="001C18FE" w:rsidRPr="000059DB" w:rsidRDefault="001C18FE" w:rsidP="001C18FE">
      <w:pPr>
        <w:rPr>
          <w:b/>
          <w:i/>
        </w:rPr>
      </w:pPr>
      <w:r w:rsidRPr="000059DB">
        <w:rPr>
          <w:b/>
          <w:i/>
        </w:rPr>
        <w:t>Recommended Materials</w:t>
      </w:r>
    </w:p>
    <w:p w14:paraId="524AC5AF" w14:textId="2BE69D8D" w:rsidR="001C18FE" w:rsidRPr="000059DB" w:rsidRDefault="001C18FE" w:rsidP="001C18FE">
      <w:pPr>
        <w:pStyle w:val="ListParagraph"/>
        <w:numPr>
          <w:ilvl w:val="0"/>
          <w:numId w:val="16"/>
        </w:numPr>
      </w:pPr>
      <w:r w:rsidRPr="000059DB">
        <w:t>Title</w:t>
      </w:r>
      <w:r w:rsidR="002A64B7">
        <w:t>: Introduction to Biotechnology (eBook)</w:t>
      </w:r>
    </w:p>
    <w:p w14:paraId="198EB6EC" w14:textId="61D75E22" w:rsidR="001C18FE" w:rsidRPr="000059DB" w:rsidRDefault="001C18FE" w:rsidP="001C18FE">
      <w:pPr>
        <w:pStyle w:val="ListParagraph"/>
        <w:numPr>
          <w:ilvl w:val="0"/>
          <w:numId w:val="16"/>
        </w:numPr>
      </w:pPr>
      <w:r w:rsidRPr="000059DB">
        <w:t>Author</w:t>
      </w:r>
      <w:r w:rsidR="002A64B7">
        <w:t>: William J. Thieman and Michael A. Pallidion</w:t>
      </w:r>
    </w:p>
    <w:p w14:paraId="130C483D" w14:textId="65366285" w:rsidR="001C18FE" w:rsidRPr="000059DB" w:rsidRDefault="001C18FE" w:rsidP="001C18FE">
      <w:pPr>
        <w:pStyle w:val="ListParagraph"/>
        <w:numPr>
          <w:ilvl w:val="0"/>
          <w:numId w:val="16"/>
        </w:numPr>
      </w:pPr>
      <w:r w:rsidRPr="000059DB">
        <w:t>Publication date and edition</w:t>
      </w:r>
      <w:r w:rsidR="002A64B7">
        <w:t>: Pearon 2026</w:t>
      </w:r>
    </w:p>
    <w:p w14:paraId="593C1118" w14:textId="380600ED" w:rsidR="001C18FE" w:rsidRDefault="001C18FE" w:rsidP="001C18FE">
      <w:pPr>
        <w:pStyle w:val="ListParagraph"/>
        <w:numPr>
          <w:ilvl w:val="0"/>
          <w:numId w:val="16"/>
        </w:numPr>
      </w:pPr>
      <w:r w:rsidRPr="000059DB">
        <w:t>ISBN number</w:t>
      </w:r>
      <w:r w:rsidR="002A64B7">
        <w:t>: 9780137</w:t>
      </w:r>
      <w:r w:rsidR="00611258">
        <w:t>533220</w:t>
      </w:r>
    </w:p>
    <w:p w14:paraId="5DD1D327" w14:textId="77777777" w:rsidR="00611258" w:rsidRDefault="00611258" w:rsidP="00611258"/>
    <w:p w14:paraId="15ECA9C3" w14:textId="3D7429BB" w:rsidR="00611258" w:rsidRDefault="00611258" w:rsidP="00611258">
      <w:pPr>
        <w:pStyle w:val="ListParagraph"/>
        <w:numPr>
          <w:ilvl w:val="0"/>
          <w:numId w:val="16"/>
        </w:numPr>
      </w:pPr>
      <w:r>
        <w:t>Recommended websites:</w:t>
      </w:r>
      <w:r w:rsidR="00383FC1" w:rsidRPr="00383FC1">
        <w:t xml:space="preserve"> </w:t>
      </w:r>
      <w:r w:rsidR="00383FC1" w:rsidRPr="00383FC1">
        <w:t xml:space="preserve">Recommended Reading: NCBioNetwork.org:  </w:t>
      </w:r>
      <w:hyperlink r:id="rId8" w:history="1">
        <w:r w:rsidR="00383FC1" w:rsidRPr="00B42DCE">
          <w:rPr>
            <w:rStyle w:val="Hyperlink"/>
          </w:rPr>
          <w:t>https://www.ncbionetwork.org/</w:t>
        </w:r>
      </w:hyperlink>
      <w:r w:rsidR="00383FC1">
        <w:t xml:space="preserve"> </w:t>
      </w:r>
      <w:r w:rsidR="00383FC1" w:rsidRPr="00383FC1">
        <w:t xml:space="preserve">Links to an external site. ; DNA from the Beginning: </w:t>
      </w:r>
      <w:hyperlink r:id="rId9" w:history="1">
        <w:r w:rsidR="00383FC1" w:rsidRPr="00B42DCE">
          <w:rPr>
            <w:rStyle w:val="Hyperlink"/>
          </w:rPr>
          <w:t>http://www.dnaftb.org/33</w:t>
        </w:r>
      </w:hyperlink>
      <w:r w:rsidR="00383FC1">
        <w:t xml:space="preserve"> </w:t>
      </w:r>
      <w:r w:rsidR="00383FC1" w:rsidRPr="00383FC1">
        <w:t xml:space="preserve">Links to an external site. ; </w:t>
      </w:r>
      <w:hyperlink r:id="rId10" w:history="1">
        <w:r w:rsidR="00383FC1" w:rsidRPr="00B42DCE">
          <w:rPr>
            <w:rStyle w:val="Hyperlink"/>
          </w:rPr>
          <w:t>http://www.dnaftb.org/34</w:t>
        </w:r>
      </w:hyperlink>
      <w:r w:rsidR="00383FC1">
        <w:t xml:space="preserve"> </w:t>
      </w:r>
      <w:r w:rsidR="00383FC1" w:rsidRPr="00383FC1">
        <w:t>Links to an external site.</w:t>
      </w:r>
    </w:p>
    <w:p w14:paraId="584A07DD" w14:textId="77777777" w:rsidR="00170EBA" w:rsidRDefault="00170EBA" w:rsidP="00170EBA"/>
    <w:p w14:paraId="69E21CB0" w14:textId="7AE8D527" w:rsidR="00170EBA" w:rsidRPr="00170EBA" w:rsidRDefault="00170EBA" w:rsidP="00170EBA">
      <w:pPr>
        <w:rPr>
          <w:b/>
          <w:bCs/>
          <w:i/>
          <w:iCs/>
        </w:rPr>
      </w:pPr>
      <w:r w:rsidRPr="00170EBA">
        <w:rPr>
          <w:b/>
          <w:bCs/>
          <w:i/>
          <w:iCs/>
        </w:rPr>
        <w:t>Required Computer</w:t>
      </w:r>
    </w:p>
    <w:p w14:paraId="621AFF09" w14:textId="77777777" w:rsidR="00940FAD" w:rsidRDefault="00940FAD" w:rsidP="00940FAD">
      <w:pPr>
        <w:rPr>
          <w:i/>
          <w:iCs/>
        </w:rPr>
      </w:pPr>
      <w:r>
        <w:t>Recommended Computer Specifications</w:t>
      </w:r>
      <w:r w:rsidRPr="00B85521">
        <w:t>:</w:t>
      </w:r>
      <w:r>
        <w:t xml:space="preserve"> </w:t>
      </w:r>
      <w:r w:rsidRPr="0057723D">
        <w:t>https://it.ufl.edu/get-help/student-computer-recommendations/</w:t>
      </w:r>
      <w:r>
        <w:rPr>
          <w:i/>
          <w:iCs/>
        </w:rPr>
        <w:t xml:space="preserve"> </w:t>
      </w:r>
    </w:p>
    <w:p w14:paraId="40B6DDC0" w14:textId="77777777" w:rsidR="00940FAD" w:rsidRPr="00170EBA" w:rsidRDefault="00940FAD" w:rsidP="00940FAD">
      <w:pPr>
        <w:rPr>
          <w:i/>
          <w:iCs/>
        </w:rPr>
      </w:pPr>
      <w:r>
        <w:rPr>
          <w:i/>
          <w:iCs/>
        </w:rPr>
        <w:t xml:space="preserve">HWCOE Computer Requirements: </w:t>
      </w:r>
      <w:r w:rsidRPr="0057723D">
        <w:rPr>
          <w:i/>
          <w:iCs/>
        </w:rPr>
        <w:t>https://www.eng.ufl.edu/students/advising/fall-semester-checklist/computer-requirements/</w:t>
      </w:r>
    </w:p>
    <w:p w14:paraId="6BF631CD" w14:textId="77777777" w:rsidR="00170EBA" w:rsidRPr="000059DB" w:rsidRDefault="00170EBA" w:rsidP="004547C4">
      <w:pPr>
        <w:rPr>
          <w:color w:val="0070C0"/>
        </w:rPr>
      </w:pPr>
    </w:p>
    <w:p w14:paraId="4BDE912E" w14:textId="77777777" w:rsidR="001C18FE" w:rsidRPr="000059DB" w:rsidRDefault="001C18FE" w:rsidP="00955689">
      <w:pPr>
        <w:rPr>
          <w:b/>
          <w:i/>
        </w:rPr>
      </w:pPr>
      <w:r w:rsidRPr="000059DB">
        <w:rPr>
          <w:b/>
          <w:i/>
        </w:rPr>
        <w:t>Course Schedule</w:t>
      </w:r>
    </w:p>
    <w:p w14:paraId="59DE602D" w14:textId="77777777" w:rsidR="005F1897" w:rsidRDefault="005F1897" w:rsidP="005F1897">
      <w:r>
        <w:t>Week</w:t>
      </w:r>
    </w:p>
    <w:p w14:paraId="431C8A78" w14:textId="77777777" w:rsidR="005F1897" w:rsidRDefault="005F1897" w:rsidP="005F1897">
      <w:r>
        <w:t>(approx)</w:t>
      </w:r>
      <w:r>
        <w:tab/>
        <w:t>Topics (Readings/Lab Weeks)</w:t>
      </w:r>
    </w:p>
    <w:p w14:paraId="42D747E2" w14:textId="574AE0C2" w:rsidR="005F1897" w:rsidRDefault="005F1897" w:rsidP="005F1897">
      <w:r>
        <w:t>1</w:t>
      </w:r>
      <w:r>
        <w:tab/>
        <w:t>Introduction- Biology in Biological</w:t>
      </w:r>
      <w:r>
        <w:t xml:space="preserve"> </w:t>
      </w:r>
      <w:r>
        <w:t>Engineering (</w:t>
      </w:r>
      <w:r>
        <w:t>Overview</w:t>
      </w:r>
      <w:r>
        <w:t>)</w:t>
      </w:r>
    </w:p>
    <w:p w14:paraId="57ED8603" w14:textId="36DF5658" w:rsidR="005F1897" w:rsidRDefault="005F1897" w:rsidP="005F1897">
      <w:r>
        <w:t>2</w:t>
      </w:r>
      <w:r>
        <w:tab/>
        <w:t>Safety, Regulation, Documentation, Products to Market in Biotechnology (</w:t>
      </w:r>
      <w:r>
        <w:t xml:space="preserve"> Homework: </w:t>
      </w:r>
      <w:r>
        <w:t>NCBioNetwork</w:t>
      </w:r>
      <w:r>
        <w:t xml:space="preserve"> Certificates</w:t>
      </w:r>
      <w:r>
        <w:t>)</w:t>
      </w:r>
    </w:p>
    <w:p w14:paraId="4E3B03EB" w14:textId="225B4715" w:rsidR="005F1897" w:rsidRDefault="005F1897" w:rsidP="005F1897">
      <w:r>
        <w:t>3-4</w:t>
      </w:r>
      <w:r>
        <w:tab/>
        <w:t>Basics in Laboratory Equipment</w:t>
      </w:r>
      <w:r w:rsidR="0075038A">
        <w:t>; Building Lab Equipment</w:t>
      </w:r>
      <w:r>
        <w:t xml:space="preserve"> (</w:t>
      </w:r>
      <w:r>
        <w:t xml:space="preserve"> Homework</w:t>
      </w:r>
      <w:r w:rsidR="00D86CE1">
        <w:t xml:space="preserve">: </w:t>
      </w:r>
      <w:r>
        <w:t>NCBioNetwork) (Lab 1 and 2)</w:t>
      </w:r>
    </w:p>
    <w:p w14:paraId="49123E9D" w14:textId="078B5E17" w:rsidR="005F1897" w:rsidRDefault="005F1897" w:rsidP="005F1897">
      <w:r>
        <w:t>5</w:t>
      </w:r>
      <w:r>
        <w:tab/>
        <w:t>Biotechnology-GENE to protein- Genetic Engineering- Cell Culture (DNA from the Beginning) (Lab 3)</w:t>
      </w:r>
    </w:p>
    <w:p w14:paraId="5BF8EA9F" w14:textId="77777777" w:rsidR="005F1897" w:rsidRDefault="005F1897" w:rsidP="005F1897">
      <w:r>
        <w:t>6</w:t>
      </w:r>
      <w:r>
        <w:tab/>
        <w:t>Assays-B-gal Enzymes (Exam I this week) (NC BioNetwork) (Lab 4)</w:t>
      </w:r>
    </w:p>
    <w:p w14:paraId="774DAA94" w14:textId="23F06302" w:rsidR="005F1897" w:rsidRDefault="005F1897" w:rsidP="005F1897">
      <w:r>
        <w:t>7</w:t>
      </w:r>
      <w:r>
        <w:tab/>
        <w:t>Process Scale up (Bench to Market) Fermentation (NCBioNetwork)(Lab 5)</w:t>
      </w:r>
    </w:p>
    <w:p w14:paraId="7995E147" w14:textId="03270B39" w:rsidR="005F1897" w:rsidRDefault="005F1897" w:rsidP="005F1897">
      <w:r>
        <w:t>8</w:t>
      </w:r>
      <w:r>
        <w:tab/>
        <w:t>Industry Application Food Engineering (Content posted on Canvas) (Lab 6)</w:t>
      </w:r>
    </w:p>
    <w:p w14:paraId="05F06831" w14:textId="77777777" w:rsidR="005F1897" w:rsidRDefault="005F1897" w:rsidP="005F1897">
      <w:r>
        <w:t>9</w:t>
      </w:r>
      <w:r>
        <w:tab/>
        <w:t>Bioseparations-(CHASM) Chapter 4 (Lab 7 – Virtual)</w:t>
      </w:r>
    </w:p>
    <w:p w14:paraId="72D9DBF7" w14:textId="6B081C1F" w:rsidR="005F1897" w:rsidRDefault="005F1897" w:rsidP="005F1897">
      <w:r>
        <w:t>10</w:t>
      </w:r>
      <w:r>
        <w:tab/>
      </w:r>
      <w:r w:rsidR="004A4580">
        <w:t xml:space="preserve">Protein </w:t>
      </w:r>
      <w:r>
        <w:t xml:space="preserve">Purification (Exam II – this week) </w:t>
      </w:r>
      <w:r w:rsidR="004A4580">
        <w:t>Purification Tables</w:t>
      </w:r>
    </w:p>
    <w:p w14:paraId="2AD88D77" w14:textId="77777777" w:rsidR="005F1897" w:rsidRDefault="005F1897" w:rsidP="005F1897">
      <w:r>
        <w:t>11</w:t>
      </w:r>
      <w:r>
        <w:tab/>
        <w:t>Wastewater Treatment  (Chapter 9; UF Wastewater) (Lab 8)</w:t>
      </w:r>
    </w:p>
    <w:p w14:paraId="50B7D616" w14:textId="77777777" w:rsidR="005F1897" w:rsidRDefault="005F1897" w:rsidP="005F1897">
      <w:r>
        <w:t>12</w:t>
      </w:r>
      <w:r>
        <w:tab/>
        <w:t>Biosystems Industry – Integration</w:t>
      </w:r>
    </w:p>
    <w:p w14:paraId="0D2075E3" w14:textId="7A7AE7A4" w:rsidR="00820834" w:rsidRPr="000059DB" w:rsidRDefault="005F1897" w:rsidP="005F1897">
      <w:pPr>
        <w:rPr>
          <w:color w:val="0070C0"/>
        </w:rPr>
      </w:pPr>
      <w:r>
        <w:t>13</w:t>
      </w:r>
      <w:r>
        <w:tab/>
      </w:r>
      <w:r w:rsidR="00D30FD5">
        <w:t>Industry Applications in Biological Engineering</w:t>
      </w:r>
      <w:r>
        <w:t xml:space="preserve"> (Exam III this week)</w:t>
      </w:r>
    </w:p>
    <w:p w14:paraId="31573725" w14:textId="5A70ADA2" w:rsidR="00820834" w:rsidRDefault="00820834"/>
    <w:p w14:paraId="5AEAD4C2" w14:textId="58A4277A" w:rsidR="00A938A9" w:rsidRDefault="00A938A9" w:rsidP="00A938A9">
      <w:pPr>
        <w:rPr>
          <w:b/>
          <w:i/>
        </w:rPr>
      </w:pPr>
      <w:r>
        <w:rPr>
          <w:b/>
          <w:i/>
        </w:rPr>
        <w:t>Important Dates</w:t>
      </w:r>
    </w:p>
    <w:p w14:paraId="52272ABB" w14:textId="1E1EE759" w:rsidR="00A938A9" w:rsidRPr="00D060A0" w:rsidRDefault="00D86CE1" w:rsidP="00A938A9">
      <w:pPr>
        <w:rPr>
          <w:bCs/>
          <w:i/>
        </w:rPr>
      </w:pPr>
      <w:r>
        <w:rPr>
          <w:bCs/>
          <w:i/>
        </w:rPr>
        <w:t xml:space="preserve">Week 6 </w:t>
      </w:r>
      <w:r w:rsidR="00A938A9" w:rsidRPr="00D060A0">
        <w:rPr>
          <w:bCs/>
          <w:i/>
        </w:rPr>
        <w:t>Exam 1 (</w:t>
      </w:r>
      <w:r w:rsidR="00262C77">
        <w:rPr>
          <w:bCs/>
          <w:i/>
        </w:rPr>
        <w:t xml:space="preserve">10:40 am Frazier Rogers 129 </w:t>
      </w:r>
      <w:r w:rsidR="00A938A9" w:rsidRPr="00D060A0">
        <w:rPr>
          <w:bCs/>
          <w:i/>
        </w:rPr>
        <w:t>)</w:t>
      </w:r>
    </w:p>
    <w:p w14:paraId="68E30B17" w14:textId="49604AFD" w:rsidR="00262C77" w:rsidRPr="00D060A0" w:rsidRDefault="00262C77" w:rsidP="00262C77">
      <w:pPr>
        <w:rPr>
          <w:bCs/>
          <w:i/>
        </w:rPr>
      </w:pPr>
      <w:r>
        <w:rPr>
          <w:bCs/>
          <w:i/>
        </w:rPr>
        <w:t xml:space="preserve">Week </w:t>
      </w:r>
      <w:r>
        <w:rPr>
          <w:bCs/>
          <w:i/>
        </w:rPr>
        <w:t xml:space="preserve">10 </w:t>
      </w:r>
      <w:r>
        <w:rPr>
          <w:bCs/>
          <w:i/>
        </w:rPr>
        <w:t xml:space="preserve"> </w:t>
      </w:r>
      <w:r w:rsidRPr="00D060A0">
        <w:rPr>
          <w:bCs/>
          <w:i/>
        </w:rPr>
        <w:t xml:space="preserve">Exam </w:t>
      </w:r>
      <w:r w:rsidR="00D30FD5">
        <w:rPr>
          <w:bCs/>
          <w:i/>
        </w:rPr>
        <w:t>2</w:t>
      </w:r>
      <w:r w:rsidRPr="00D060A0">
        <w:rPr>
          <w:bCs/>
          <w:i/>
        </w:rPr>
        <w:t xml:space="preserve"> (</w:t>
      </w:r>
      <w:r>
        <w:rPr>
          <w:bCs/>
          <w:i/>
        </w:rPr>
        <w:t xml:space="preserve">10:40 am Frazier Rogers 129 </w:t>
      </w:r>
      <w:r w:rsidRPr="00D060A0">
        <w:rPr>
          <w:bCs/>
          <w:i/>
        </w:rPr>
        <w:t>)</w:t>
      </w:r>
    </w:p>
    <w:p w14:paraId="774D3162" w14:textId="77777777" w:rsidR="00242D15" w:rsidRPr="00D060A0" w:rsidRDefault="00D30FD5" w:rsidP="00242D15">
      <w:pPr>
        <w:rPr>
          <w:bCs/>
          <w:i/>
        </w:rPr>
      </w:pPr>
      <w:r>
        <w:rPr>
          <w:bCs/>
          <w:i/>
        </w:rPr>
        <w:t xml:space="preserve">Week </w:t>
      </w:r>
      <w:r w:rsidR="00242D15">
        <w:rPr>
          <w:bCs/>
          <w:i/>
        </w:rPr>
        <w:t>13 Exam 3</w:t>
      </w:r>
      <w:r w:rsidR="00242D15" w:rsidRPr="00D060A0">
        <w:rPr>
          <w:bCs/>
          <w:i/>
        </w:rPr>
        <w:t>(</w:t>
      </w:r>
      <w:r w:rsidR="00242D15">
        <w:rPr>
          <w:bCs/>
          <w:i/>
        </w:rPr>
        <w:t xml:space="preserve">10:40 am Frazier Rogers 129 </w:t>
      </w:r>
      <w:r w:rsidR="00242D15" w:rsidRPr="00D060A0">
        <w:rPr>
          <w:bCs/>
          <w:i/>
        </w:rPr>
        <w:t>)</w:t>
      </w:r>
    </w:p>
    <w:p w14:paraId="2E7A3CC8" w14:textId="7197F6D2" w:rsidR="005D665F" w:rsidRDefault="005D665F" w:rsidP="00A938A9">
      <w:pPr>
        <w:rPr>
          <w:bCs/>
          <w:i/>
        </w:rPr>
      </w:pPr>
      <w:r>
        <w:rPr>
          <w:bCs/>
          <w:i/>
        </w:rPr>
        <w:t xml:space="preserve">Week </w:t>
      </w:r>
      <w:r w:rsidR="00F1103D">
        <w:rPr>
          <w:bCs/>
          <w:i/>
        </w:rPr>
        <w:t>14 Creative Project Due</w:t>
      </w:r>
      <w:r w:rsidR="00242D15">
        <w:rPr>
          <w:bCs/>
          <w:i/>
        </w:rPr>
        <w:t xml:space="preserve"> </w:t>
      </w:r>
    </w:p>
    <w:p w14:paraId="268BA7EB" w14:textId="0428DB85" w:rsidR="00A938A9" w:rsidRPr="00D060A0" w:rsidRDefault="00A938A9" w:rsidP="00A938A9">
      <w:pPr>
        <w:rPr>
          <w:bCs/>
          <w:i/>
        </w:rPr>
      </w:pPr>
      <w:r w:rsidRPr="00D060A0">
        <w:rPr>
          <w:bCs/>
          <w:i/>
        </w:rPr>
        <w:t>Final Exam (</w:t>
      </w:r>
      <w:r w:rsidR="005D665F" w:rsidRPr="005D665F">
        <w:rPr>
          <w:bCs/>
          <w:i/>
        </w:rPr>
        <w:t>5/1/2026 @ 7:30 AM - 9:30 AM</w:t>
      </w:r>
      <w:r w:rsidRPr="00D060A0">
        <w:rPr>
          <w:bCs/>
          <w:i/>
        </w:rPr>
        <w:t>)</w:t>
      </w:r>
    </w:p>
    <w:p w14:paraId="5CD91B84" w14:textId="77777777" w:rsidR="006E7FC7" w:rsidRPr="000059DB" w:rsidRDefault="006E7FC7" w:rsidP="00820834">
      <w:pPr>
        <w:rPr>
          <w:color w:val="0070C0"/>
        </w:rPr>
      </w:pPr>
    </w:p>
    <w:p w14:paraId="10017178" w14:textId="77777777" w:rsidR="006E7FC7" w:rsidRPr="000059DB" w:rsidRDefault="006E7FC7" w:rsidP="00820834">
      <w:pPr>
        <w:rPr>
          <w:b/>
          <w:i/>
        </w:rPr>
      </w:pPr>
      <w:r w:rsidRPr="000059DB">
        <w:rPr>
          <w:b/>
          <w:i/>
        </w:rPr>
        <w:t>Evaluation of Grades</w:t>
      </w:r>
    </w:p>
    <w:tbl>
      <w:tblPr>
        <w:tblStyle w:val="TableGrid"/>
        <w:tblW w:w="0" w:type="auto"/>
        <w:tblLook w:val="04A0" w:firstRow="1" w:lastRow="0" w:firstColumn="1" w:lastColumn="0" w:noHBand="0" w:noVBand="1"/>
      </w:tblPr>
      <w:tblGrid>
        <w:gridCol w:w="2425"/>
        <w:gridCol w:w="1530"/>
        <w:gridCol w:w="2970"/>
      </w:tblGrid>
      <w:tr w:rsidR="006E7FC7" w:rsidRPr="000059DB" w14:paraId="086AA3D4" w14:textId="77777777" w:rsidTr="006E7FC7">
        <w:tc>
          <w:tcPr>
            <w:tcW w:w="2425" w:type="dxa"/>
          </w:tcPr>
          <w:p w14:paraId="226ACC42" w14:textId="77777777" w:rsidR="006E7FC7" w:rsidRPr="000059DB" w:rsidRDefault="006E7FC7" w:rsidP="00820834">
            <w:pPr>
              <w:rPr>
                <w:b/>
              </w:rPr>
            </w:pPr>
            <w:r w:rsidRPr="000059DB">
              <w:rPr>
                <w:b/>
              </w:rPr>
              <w:t>Assignment</w:t>
            </w:r>
          </w:p>
        </w:tc>
        <w:tc>
          <w:tcPr>
            <w:tcW w:w="1530" w:type="dxa"/>
          </w:tcPr>
          <w:p w14:paraId="762AB446" w14:textId="77777777" w:rsidR="006E7FC7" w:rsidRPr="000059DB" w:rsidRDefault="006E7FC7" w:rsidP="006E7FC7">
            <w:pPr>
              <w:jc w:val="center"/>
              <w:rPr>
                <w:b/>
              </w:rPr>
            </w:pPr>
            <w:r w:rsidRPr="000059DB">
              <w:rPr>
                <w:b/>
              </w:rPr>
              <w:t>Total Points</w:t>
            </w:r>
          </w:p>
        </w:tc>
        <w:tc>
          <w:tcPr>
            <w:tcW w:w="2970" w:type="dxa"/>
          </w:tcPr>
          <w:p w14:paraId="5F52D963" w14:textId="77777777" w:rsidR="006E7FC7" w:rsidRPr="000059DB" w:rsidRDefault="006E7FC7" w:rsidP="006E7FC7">
            <w:pPr>
              <w:jc w:val="center"/>
              <w:rPr>
                <w:b/>
              </w:rPr>
            </w:pPr>
            <w:r w:rsidRPr="000059DB">
              <w:rPr>
                <w:b/>
              </w:rPr>
              <w:t>Percentage of Final Grade</w:t>
            </w:r>
          </w:p>
        </w:tc>
      </w:tr>
      <w:tr w:rsidR="006E7FC7" w:rsidRPr="000059DB" w14:paraId="6398C783" w14:textId="77777777" w:rsidTr="006E7FC7">
        <w:tc>
          <w:tcPr>
            <w:tcW w:w="2425" w:type="dxa"/>
          </w:tcPr>
          <w:p w14:paraId="7E1BAEF7" w14:textId="15950ADD" w:rsidR="006E7FC7" w:rsidRPr="000059DB" w:rsidRDefault="003B65D2" w:rsidP="00820834">
            <w:pPr>
              <w:rPr>
                <w:color w:val="0070C0"/>
              </w:rPr>
            </w:pPr>
            <w:r>
              <w:rPr>
                <w:color w:val="0070C0"/>
              </w:rPr>
              <w:t>Homework (4-5)</w:t>
            </w:r>
          </w:p>
        </w:tc>
        <w:tc>
          <w:tcPr>
            <w:tcW w:w="1530" w:type="dxa"/>
          </w:tcPr>
          <w:p w14:paraId="0714275B" w14:textId="446C904C" w:rsidR="006E7FC7" w:rsidRPr="000059DB" w:rsidRDefault="004C0D3F" w:rsidP="006E7FC7">
            <w:pPr>
              <w:jc w:val="center"/>
              <w:rPr>
                <w:color w:val="0070C0"/>
              </w:rPr>
            </w:pPr>
            <w:r>
              <w:rPr>
                <w:color w:val="0070C0"/>
              </w:rPr>
              <w:t xml:space="preserve">10 </w:t>
            </w:r>
          </w:p>
        </w:tc>
        <w:tc>
          <w:tcPr>
            <w:tcW w:w="2970" w:type="dxa"/>
          </w:tcPr>
          <w:p w14:paraId="2B3677A5" w14:textId="64278795" w:rsidR="006E7FC7" w:rsidRPr="000059DB" w:rsidRDefault="004C0D3F" w:rsidP="006E7FC7">
            <w:pPr>
              <w:jc w:val="center"/>
              <w:rPr>
                <w:color w:val="0070C0"/>
              </w:rPr>
            </w:pPr>
            <w:r>
              <w:rPr>
                <w:color w:val="0070C0"/>
              </w:rPr>
              <w:t>10%</w:t>
            </w:r>
          </w:p>
        </w:tc>
      </w:tr>
      <w:tr w:rsidR="006E7FC7" w:rsidRPr="000059DB" w14:paraId="6555FD2F" w14:textId="77777777" w:rsidTr="006E7FC7">
        <w:tc>
          <w:tcPr>
            <w:tcW w:w="2425" w:type="dxa"/>
          </w:tcPr>
          <w:p w14:paraId="772ACCDF" w14:textId="738CDA09" w:rsidR="006E7FC7" w:rsidRPr="000059DB" w:rsidRDefault="004C0D3F" w:rsidP="00FF5265">
            <w:pPr>
              <w:rPr>
                <w:color w:val="0070C0"/>
              </w:rPr>
            </w:pPr>
            <w:r>
              <w:rPr>
                <w:color w:val="0070C0"/>
              </w:rPr>
              <w:t>Lab Reports (</w:t>
            </w:r>
            <w:r w:rsidR="00FF5265">
              <w:rPr>
                <w:color w:val="0070C0"/>
              </w:rPr>
              <w:t>8)</w:t>
            </w:r>
          </w:p>
        </w:tc>
        <w:tc>
          <w:tcPr>
            <w:tcW w:w="1530" w:type="dxa"/>
          </w:tcPr>
          <w:p w14:paraId="40027083" w14:textId="6D432AAC" w:rsidR="006E7FC7" w:rsidRPr="000059DB" w:rsidRDefault="005A427F" w:rsidP="006E7FC7">
            <w:pPr>
              <w:jc w:val="center"/>
              <w:rPr>
                <w:color w:val="0070C0"/>
              </w:rPr>
            </w:pPr>
            <w:r>
              <w:rPr>
                <w:color w:val="0070C0"/>
              </w:rPr>
              <w:t>35</w:t>
            </w:r>
          </w:p>
        </w:tc>
        <w:tc>
          <w:tcPr>
            <w:tcW w:w="2970" w:type="dxa"/>
          </w:tcPr>
          <w:p w14:paraId="38A321D7" w14:textId="35303FF4" w:rsidR="006E7FC7" w:rsidRPr="000059DB" w:rsidRDefault="00FF5265" w:rsidP="006E7FC7">
            <w:pPr>
              <w:jc w:val="center"/>
              <w:rPr>
                <w:color w:val="0070C0"/>
              </w:rPr>
            </w:pPr>
            <w:r>
              <w:rPr>
                <w:color w:val="0070C0"/>
              </w:rPr>
              <w:t>35%</w:t>
            </w:r>
          </w:p>
        </w:tc>
      </w:tr>
      <w:tr w:rsidR="006E7FC7" w:rsidRPr="000059DB" w14:paraId="5FF27DD1" w14:textId="77777777" w:rsidTr="006E7FC7">
        <w:tc>
          <w:tcPr>
            <w:tcW w:w="2425" w:type="dxa"/>
          </w:tcPr>
          <w:p w14:paraId="2EDEEA3D" w14:textId="3C7BD5E0" w:rsidR="006E7FC7" w:rsidRPr="000059DB" w:rsidRDefault="00FF5265" w:rsidP="00820834">
            <w:pPr>
              <w:rPr>
                <w:color w:val="0070C0"/>
              </w:rPr>
            </w:pPr>
            <w:r>
              <w:rPr>
                <w:color w:val="0070C0"/>
              </w:rPr>
              <w:t>Lab Notebook</w:t>
            </w:r>
          </w:p>
        </w:tc>
        <w:tc>
          <w:tcPr>
            <w:tcW w:w="1530" w:type="dxa"/>
          </w:tcPr>
          <w:p w14:paraId="38CCEACC" w14:textId="6EB5813D" w:rsidR="006E7FC7" w:rsidRPr="000059DB" w:rsidRDefault="005A427F" w:rsidP="006E7FC7">
            <w:pPr>
              <w:jc w:val="center"/>
              <w:rPr>
                <w:color w:val="0070C0"/>
              </w:rPr>
            </w:pPr>
            <w:r>
              <w:rPr>
                <w:color w:val="0070C0"/>
              </w:rPr>
              <w:t>5</w:t>
            </w:r>
          </w:p>
        </w:tc>
        <w:tc>
          <w:tcPr>
            <w:tcW w:w="2970" w:type="dxa"/>
          </w:tcPr>
          <w:p w14:paraId="28585646" w14:textId="5B992F97" w:rsidR="006E7FC7" w:rsidRPr="000059DB" w:rsidRDefault="00FF5265" w:rsidP="006E7FC7">
            <w:pPr>
              <w:jc w:val="center"/>
              <w:rPr>
                <w:color w:val="0070C0"/>
              </w:rPr>
            </w:pPr>
            <w:r>
              <w:rPr>
                <w:color w:val="0070C0"/>
              </w:rPr>
              <w:t>5%</w:t>
            </w:r>
          </w:p>
        </w:tc>
      </w:tr>
      <w:tr w:rsidR="006E7FC7" w:rsidRPr="000059DB" w14:paraId="37E79C89" w14:textId="77777777" w:rsidTr="006E7FC7">
        <w:tc>
          <w:tcPr>
            <w:tcW w:w="2425" w:type="dxa"/>
          </w:tcPr>
          <w:p w14:paraId="74D19237" w14:textId="6B6C2932" w:rsidR="006E7FC7" w:rsidRPr="000059DB" w:rsidRDefault="00A824AC" w:rsidP="00820834">
            <w:pPr>
              <w:rPr>
                <w:color w:val="0070C0"/>
              </w:rPr>
            </w:pPr>
            <w:r>
              <w:rPr>
                <w:color w:val="0070C0"/>
              </w:rPr>
              <w:t>Exam 1</w:t>
            </w:r>
          </w:p>
        </w:tc>
        <w:tc>
          <w:tcPr>
            <w:tcW w:w="1530" w:type="dxa"/>
          </w:tcPr>
          <w:p w14:paraId="26E33946" w14:textId="442BE783" w:rsidR="006E7FC7" w:rsidRPr="000059DB" w:rsidRDefault="00A824AC" w:rsidP="006E7FC7">
            <w:pPr>
              <w:jc w:val="center"/>
              <w:rPr>
                <w:color w:val="0070C0"/>
              </w:rPr>
            </w:pPr>
            <w:r>
              <w:rPr>
                <w:color w:val="0070C0"/>
              </w:rPr>
              <w:t>10</w:t>
            </w:r>
          </w:p>
        </w:tc>
        <w:tc>
          <w:tcPr>
            <w:tcW w:w="2970" w:type="dxa"/>
          </w:tcPr>
          <w:p w14:paraId="7618FE7B" w14:textId="50C1081E" w:rsidR="006E7FC7" w:rsidRPr="000059DB" w:rsidRDefault="005A427F" w:rsidP="006E7FC7">
            <w:pPr>
              <w:jc w:val="center"/>
              <w:rPr>
                <w:color w:val="0070C0"/>
              </w:rPr>
            </w:pPr>
            <w:r>
              <w:rPr>
                <w:color w:val="0070C0"/>
              </w:rPr>
              <w:t>10%</w:t>
            </w:r>
          </w:p>
        </w:tc>
      </w:tr>
      <w:tr w:rsidR="006E7FC7" w:rsidRPr="000059DB" w14:paraId="708D8680" w14:textId="77777777" w:rsidTr="006E7FC7">
        <w:tc>
          <w:tcPr>
            <w:tcW w:w="2425" w:type="dxa"/>
          </w:tcPr>
          <w:p w14:paraId="4B6D0451" w14:textId="4730072F" w:rsidR="006E7FC7" w:rsidRPr="000059DB" w:rsidRDefault="00A824AC" w:rsidP="00820834">
            <w:pPr>
              <w:rPr>
                <w:color w:val="0070C0"/>
              </w:rPr>
            </w:pPr>
            <w:r>
              <w:rPr>
                <w:color w:val="0070C0"/>
              </w:rPr>
              <w:t>Exam 2</w:t>
            </w:r>
          </w:p>
        </w:tc>
        <w:tc>
          <w:tcPr>
            <w:tcW w:w="1530" w:type="dxa"/>
          </w:tcPr>
          <w:p w14:paraId="304B7B62" w14:textId="635D6B39" w:rsidR="006E7FC7" w:rsidRPr="000059DB" w:rsidRDefault="00A824AC" w:rsidP="006E7FC7">
            <w:pPr>
              <w:jc w:val="center"/>
              <w:rPr>
                <w:color w:val="0070C0"/>
              </w:rPr>
            </w:pPr>
            <w:r>
              <w:rPr>
                <w:color w:val="0070C0"/>
              </w:rPr>
              <w:t>10</w:t>
            </w:r>
          </w:p>
        </w:tc>
        <w:tc>
          <w:tcPr>
            <w:tcW w:w="2970" w:type="dxa"/>
          </w:tcPr>
          <w:p w14:paraId="5AC91DEA" w14:textId="6C20C181" w:rsidR="006E7FC7" w:rsidRPr="000059DB" w:rsidRDefault="005A427F" w:rsidP="006E7FC7">
            <w:pPr>
              <w:jc w:val="center"/>
              <w:rPr>
                <w:color w:val="0070C0"/>
              </w:rPr>
            </w:pPr>
            <w:r>
              <w:rPr>
                <w:color w:val="0070C0"/>
              </w:rPr>
              <w:t>10%</w:t>
            </w:r>
          </w:p>
        </w:tc>
      </w:tr>
      <w:tr w:rsidR="00A824AC" w:rsidRPr="000059DB" w14:paraId="40F0EB38" w14:textId="77777777" w:rsidTr="006E7FC7">
        <w:tc>
          <w:tcPr>
            <w:tcW w:w="2425" w:type="dxa"/>
          </w:tcPr>
          <w:p w14:paraId="7B1E02DA" w14:textId="4DD2E93C" w:rsidR="00A824AC" w:rsidRDefault="00A824AC" w:rsidP="00820834">
            <w:pPr>
              <w:rPr>
                <w:color w:val="0070C0"/>
              </w:rPr>
            </w:pPr>
            <w:r>
              <w:rPr>
                <w:color w:val="0070C0"/>
              </w:rPr>
              <w:t>Exam 3</w:t>
            </w:r>
          </w:p>
        </w:tc>
        <w:tc>
          <w:tcPr>
            <w:tcW w:w="1530" w:type="dxa"/>
          </w:tcPr>
          <w:p w14:paraId="49605417" w14:textId="11E7535C" w:rsidR="00A824AC" w:rsidRDefault="00A824AC" w:rsidP="006E7FC7">
            <w:pPr>
              <w:jc w:val="center"/>
              <w:rPr>
                <w:color w:val="0070C0"/>
              </w:rPr>
            </w:pPr>
            <w:r>
              <w:rPr>
                <w:color w:val="0070C0"/>
              </w:rPr>
              <w:t>10</w:t>
            </w:r>
          </w:p>
        </w:tc>
        <w:tc>
          <w:tcPr>
            <w:tcW w:w="2970" w:type="dxa"/>
          </w:tcPr>
          <w:p w14:paraId="0F86C99B" w14:textId="0655D839" w:rsidR="00A824AC" w:rsidRPr="000059DB" w:rsidRDefault="005A427F" w:rsidP="006E7FC7">
            <w:pPr>
              <w:jc w:val="center"/>
              <w:rPr>
                <w:color w:val="0070C0"/>
              </w:rPr>
            </w:pPr>
            <w:r>
              <w:rPr>
                <w:color w:val="0070C0"/>
              </w:rPr>
              <w:t>10%</w:t>
            </w:r>
          </w:p>
        </w:tc>
      </w:tr>
      <w:tr w:rsidR="00A824AC" w:rsidRPr="000059DB" w14:paraId="0EE46B88" w14:textId="77777777" w:rsidTr="006E7FC7">
        <w:tc>
          <w:tcPr>
            <w:tcW w:w="2425" w:type="dxa"/>
          </w:tcPr>
          <w:p w14:paraId="757C87C0" w14:textId="298F70AF" w:rsidR="00A824AC" w:rsidRDefault="00484E33" w:rsidP="00820834">
            <w:pPr>
              <w:rPr>
                <w:color w:val="0070C0"/>
              </w:rPr>
            </w:pPr>
            <w:r>
              <w:rPr>
                <w:color w:val="0070C0"/>
              </w:rPr>
              <w:t>Final Exam</w:t>
            </w:r>
          </w:p>
        </w:tc>
        <w:tc>
          <w:tcPr>
            <w:tcW w:w="1530" w:type="dxa"/>
          </w:tcPr>
          <w:p w14:paraId="4570CABC" w14:textId="6EA84BE5" w:rsidR="00A824AC" w:rsidRDefault="00484E33" w:rsidP="006E7FC7">
            <w:pPr>
              <w:jc w:val="center"/>
              <w:rPr>
                <w:color w:val="0070C0"/>
              </w:rPr>
            </w:pPr>
            <w:r>
              <w:rPr>
                <w:color w:val="0070C0"/>
              </w:rPr>
              <w:t>10</w:t>
            </w:r>
          </w:p>
        </w:tc>
        <w:tc>
          <w:tcPr>
            <w:tcW w:w="2970" w:type="dxa"/>
          </w:tcPr>
          <w:p w14:paraId="131E5D0D" w14:textId="725858F3" w:rsidR="00A824AC" w:rsidRPr="000059DB" w:rsidRDefault="00484E33" w:rsidP="006E7FC7">
            <w:pPr>
              <w:jc w:val="center"/>
              <w:rPr>
                <w:color w:val="0070C0"/>
              </w:rPr>
            </w:pPr>
            <w:r>
              <w:rPr>
                <w:color w:val="0070C0"/>
              </w:rPr>
              <w:t>10%</w:t>
            </w:r>
          </w:p>
        </w:tc>
      </w:tr>
      <w:tr w:rsidR="00A824AC" w:rsidRPr="000059DB" w14:paraId="34A76341" w14:textId="77777777" w:rsidTr="006E7FC7">
        <w:tc>
          <w:tcPr>
            <w:tcW w:w="2425" w:type="dxa"/>
          </w:tcPr>
          <w:p w14:paraId="6BFDEF89" w14:textId="219AC654" w:rsidR="00A824AC" w:rsidRDefault="00484E33" w:rsidP="00820834">
            <w:pPr>
              <w:rPr>
                <w:color w:val="0070C0"/>
              </w:rPr>
            </w:pPr>
            <w:r>
              <w:rPr>
                <w:color w:val="0070C0"/>
              </w:rPr>
              <w:t>Creative Project</w:t>
            </w:r>
          </w:p>
        </w:tc>
        <w:tc>
          <w:tcPr>
            <w:tcW w:w="1530" w:type="dxa"/>
          </w:tcPr>
          <w:p w14:paraId="07DB3E47" w14:textId="18DFAF6D" w:rsidR="00A824AC" w:rsidRDefault="00484E33" w:rsidP="006E7FC7">
            <w:pPr>
              <w:jc w:val="center"/>
              <w:rPr>
                <w:color w:val="0070C0"/>
              </w:rPr>
            </w:pPr>
            <w:r>
              <w:rPr>
                <w:color w:val="0070C0"/>
              </w:rPr>
              <w:t>10</w:t>
            </w:r>
          </w:p>
        </w:tc>
        <w:tc>
          <w:tcPr>
            <w:tcW w:w="2970" w:type="dxa"/>
          </w:tcPr>
          <w:p w14:paraId="00F0E5AA" w14:textId="56424457" w:rsidR="00A824AC" w:rsidRPr="000059DB" w:rsidRDefault="00484E33" w:rsidP="006E7FC7">
            <w:pPr>
              <w:jc w:val="center"/>
              <w:rPr>
                <w:color w:val="0070C0"/>
              </w:rPr>
            </w:pPr>
            <w:r>
              <w:rPr>
                <w:color w:val="0070C0"/>
              </w:rPr>
              <w:t>10%</w:t>
            </w:r>
          </w:p>
        </w:tc>
      </w:tr>
    </w:tbl>
    <w:p w14:paraId="108A546C" w14:textId="77777777" w:rsidR="006E7FC7" w:rsidRPr="000059DB" w:rsidRDefault="006E7FC7" w:rsidP="00820834">
      <w:pPr>
        <w:rPr>
          <w:b/>
        </w:rPr>
      </w:pPr>
    </w:p>
    <w:p w14:paraId="25D5660A" w14:textId="77777777" w:rsidR="006E7FC7" w:rsidRPr="000059DB" w:rsidRDefault="006E7FC7" w:rsidP="00820834">
      <w:pPr>
        <w:rPr>
          <w:b/>
          <w:i/>
        </w:rPr>
      </w:pPr>
      <w:r w:rsidRPr="000059DB">
        <w:rPr>
          <w:b/>
          <w:i/>
        </w:rPr>
        <w:t>Grading Policy</w:t>
      </w:r>
    </w:p>
    <w:p w14:paraId="7ED6B1A1" w14:textId="1C4272F5" w:rsidR="00FB6F04" w:rsidRPr="000059DB" w:rsidRDefault="00FB6F04" w:rsidP="00FB6F04">
      <w:pPr>
        <w:rPr>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990"/>
        <w:gridCol w:w="1170"/>
      </w:tblGrid>
      <w:tr w:rsidR="00DD0E35" w:rsidRPr="000059DB" w14:paraId="65F8D0F6" w14:textId="77777777" w:rsidTr="00DD0E35">
        <w:trPr>
          <w:trHeight w:val="98"/>
        </w:trPr>
        <w:tc>
          <w:tcPr>
            <w:tcW w:w="1350" w:type="dxa"/>
          </w:tcPr>
          <w:p w14:paraId="06B846F5" w14:textId="77777777" w:rsidR="00DD0E35" w:rsidRPr="000059DB" w:rsidRDefault="00DD0E35">
            <w:pPr>
              <w:pStyle w:val="Default"/>
              <w:rPr>
                <w:rFonts w:ascii="Cambria" w:hAnsi="Cambria"/>
                <w:sz w:val="22"/>
                <w:szCs w:val="22"/>
              </w:rPr>
            </w:pPr>
            <w:r w:rsidRPr="000059DB">
              <w:rPr>
                <w:rFonts w:ascii="Cambria" w:hAnsi="Cambria"/>
                <w:b/>
                <w:bCs/>
                <w:sz w:val="22"/>
                <w:szCs w:val="22"/>
              </w:rPr>
              <w:lastRenderedPageBreak/>
              <w:t xml:space="preserve">Percent </w:t>
            </w:r>
          </w:p>
        </w:tc>
        <w:tc>
          <w:tcPr>
            <w:tcW w:w="990" w:type="dxa"/>
          </w:tcPr>
          <w:p w14:paraId="6686D6C1" w14:textId="77777777" w:rsidR="00DD0E35" w:rsidRPr="000059DB" w:rsidRDefault="00DD0E35">
            <w:pPr>
              <w:pStyle w:val="Default"/>
              <w:rPr>
                <w:rFonts w:ascii="Cambria" w:hAnsi="Cambria"/>
                <w:sz w:val="22"/>
                <w:szCs w:val="22"/>
              </w:rPr>
            </w:pPr>
            <w:r w:rsidRPr="000059DB">
              <w:rPr>
                <w:rFonts w:ascii="Cambria" w:hAnsi="Cambria"/>
                <w:b/>
                <w:bCs/>
                <w:sz w:val="22"/>
                <w:szCs w:val="22"/>
              </w:rPr>
              <w:t xml:space="preserve">Grade </w:t>
            </w:r>
          </w:p>
        </w:tc>
        <w:tc>
          <w:tcPr>
            <w:tcW w:w="1170" w:type="dxa"/>
          </w:tcPr>
          <w:p w14:paraId="5DE99B54" w14:textId="77777777" w:rsidR="00DD0E35" w:rsidRPr="000059DB" w:rsidRDefault="00DD0E35">
            <w:pPr>
              <w:pStyle w:val="Default"/>
              <w:rPr>
                <w:rFonts w:ascii="Cambria" w:hAnsi="Cambria"/>
                <w:sz w:val="22"/>
                <w:szCs w:val="22"/>
              </w:rPr>
            </w:pPr>
            <w:r w:rsidRPr="000059DB">
              <w:rPr>
                <w:rFonts w:ascii="Cambria" w:hAnsi="Cambria"/>
                <w:b/>
                <w:bCs/>
                <w:sz w:val="22"/>
                <w:szCs w:val="22"/>
              </w:rPr>
              <w:t xml:space="preserve">Grade Points </w:t>
            </w:r>
          </w:p>
        </w:tc>
      </w:tr>
      <w:tr w:rsidR="00DD0E35" w:rsidRPr="000059DB" w14:paraId="2BEBD8B5" w14:textId="77777777" w:rsidTr="00DD0E35">
        <w:trPr>
          <w:trHeight w:val="100"/>
        </w:trPr>
        <w:tc>
          <w:tcPr>
            <w:tcW w:w="1350" w:type="dxa"/>
          </w:tcPr>
          <w:p w14:paraId="15755957" w14:textId="2DFA7BB5" w:rsidR="00DD0E35" w:rsidRPr="000059DB" w:rsidRDefault="00FE03BD">
            <w:pPr>
              <w:pStyle w:val="Default"/>
              <w:rPr>
                <w:rFonts w:ascii="Cambria" w:hAnsi="Cambria"/>
                <w:color w:val="0070C0"/>
                <w:sz w:val="22"/>
                <w:szCs w:val="22"/>
              </w:rPr>
            </w:pPr>
            <w:r>
              <w:rPr>
                <w:rFonts w:ascii="Cambria" w:hAnsi="Cambria"/>
                <w:color w:val="0070C0"/>
                <w:sz w:val="22"/>
                <w:szCs w:val="22"/>
              </w:rPr>
              <w:t>93.5-100</w:t>
            </w:r>
          </w:p>
        </w:tc>
        <w:tc>
          <w:tcPr>
            <w:tcW w:w="990" w:type="dxa"/>
          </w:tcPr>
          <w:p w14:paraId="51F12EA1"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A </w:t>
            </w:r>
          </w:p>
        </w:tc>
        <w:tc>
          <w:tcPr>
            <w:tcW w:w="1170" w:type="dxa"/>
          </w:tcPr>
          <w:p w14:paraId="2C96B007"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4.00 </w:t>
            </w:r>
          </w:p>
        </w:tc>
      </w:tr>
      <w:tr w:rsidR="00DD0E35" w:rsidRPr="000059DB" w14:paraId="59D9D725" w14:textId="77777777" w:rsidTr="00DD0E35">
        <w:trPr>
          <w:trHeight w:val="100"/>
        </w:trPr>
        <w:tc>
          <w:tcPr>
            <w:tcW w:w="1350" w:type="dxa"/>
          </w:tcPr>
          <w:p w14:paraId="11E55B44" w14:textId="497FBE1F" w:rsidR="00DD0E35" w:rsidRPr="000059DB" w:rsidRDefault="00FE03BD">
            <w:pPr>
              <w:pStyle w:val="Default"/>
              <w:rPr>
                <w:rFonts w:ascii="Cambria" w:hAnsi="Cambria"/>
                <w:color w:val="0070C0"/>
                <w:sz w:val="22"/>
                <w:szCs w:val="22"/>
              </w:rPr>
            </w:pPr>
            <w:r>
              <w:rPr>
                <w:rFonts w:ascii="Cambria" w:hAnsi="Cambria"/>
                <w:color w:val="0070C0"/>
                <w:sz w:val="22"/>
                <w:szCs w:val="22"/>
              </w:rPr>
              <w:t>89.5-93.4</w:t>
            </w:r>
          </w:p>
        </w:tc>
        <w:tc>
          <w:tcPr>
            <w:tcW w:w="990" w:type="dxa"/>
          </w:tcPr>
          <w:p w14:paraId="26EB0C6E"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A- </w:t>
            </w:r>
          </w:p>
        </w:tc>
        <w:tc>
          <w:tcPr>
            <w:tcW w:w="1170" w:type="dxa"/>
          </w:tcPr>
          <w:p w14:paraId="2248B1CD"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3.67 </w:t>
            </w:r>
          </w:p>
        </w:tc>
      </w:tr>
      <w:tr w:rsidR="00DD0E35" w:rsidRPr="000059DB" w14:paraId="63911BDD" w14:textId="77777777" w:rsidTr="00DD0E35">
        <w:trPr>
          <w:trHeight w:val="100"/>
        </w:trPr>
        <w:tc>
          <w:tcPr>
            <w:tcW w:w="1350" w:type="dxa"/>
          </w:tcPr>
          <w:p w14:paraId="151F7FD5" w14:textId="4D42E50C" w:rsidR="00DD0E35" w:rsidRPr="000059DB" w:rsidRDefault="00FE03BD">
            <w:pPr>
              <w:pStyle w:val="Default"/>
              <w:rPr>
                <w:rFonts w:ascii="Cambria" w:hAnsi="Cambria"/>
                <w:color w:val="0070C0"/>
                <w:sz w:val="22"/>
                <w:szCs w:val="22"/>
              </w:rPr>
            </w:pPr>
            <w:r>
              <w:rPr>
                <w:rFonts w:ascii="Cambria" w:hAnsi="Cambria"/>
                <w:color w:val="0070C0"/>
                <w:sz w:val="22"/>
                <w:szCs w:val="22"/>
              </w:rPr>
              <w:t>87.5-89.4</w:t>
            </w:r>
          </w:p>
        </w:tc>
        <w:tc>
          <w:tcPr>
            <w:tcW w:w="990" w:type="dxa"/>
          </w:tcPr>
          <w:p w14:paraId="7477DC9A"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B+ </w:t>
            </w:r>
          </w:p>
        </w:tc>
        <w:tc>
          <w:tcPr>
            <w:tcW w:w="1170" w:type="dxa"/>
          </w:tcPr>
          <w:p w14:paraId="3556F210"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3.33 </w:t>
            </w:r>
          </w:p>
        </w:tc>
      </w:tr>
      <w:tr w:rsidR="00DD0E35" w:rsidRPr="000059DB" w14:paraId="3E5EB525" w14:textId="77777777" w:rsidTr="00DD0E35">
        <w:trPr>
          <w:trHeight w:val="100"/>
        </w:trPr>
        <w:tc>
          <w:tcPr>
            <w:tcW w:w="1350" w:type="dxa"/>
          </w:tcPr>
          <w:p w14:paraId="50E6D523" w14:textId="411BD58A" w:rsidR="00DD0E35" w:rsidRPr="000059DB" w:rsidRDefault="00FE03BD">
            <w:pPr>
              <w:pStyle w:val="Default"/>
              <w:rPr>
                <w:rFonts w:ascii="Cambria" w:hAnsi="Cambria"/>
                <w:color w:val="0070C0"/>
                <w:sz w:val="22"/>
                <w:szCs w:val="22"/>
              </w:rPr>
            </w:pPr>
            <w:r>
              <w:rPr>
                <w:rFonts w:ascii="Cambria" w:hAnsi="Cambria"/>
                <w:color w:val="0070C0"/>
                <w:sz w:val="22"/>
                <w:szCs w:val="22"/>
              </w:rPr>
              <w:t>83.5-87.4</w:t>
            </w:r>
          </w:p>
        </w:tc>
        <w:tc>
          <w:tcPr>
            <w:tcW w:w="990" w:type="dxa"/>
          </w:tcPr>
          <w:p w14:paraId="428B701D"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B </w:t>
            </w:r>
          </w:p>
        </w:tc>
        <w:tc>
          <w:tcPr>
            <w:tcW w:w="1170" w:type="dxa"/>
          </w:tcPr>
          <w:p w14:paraId="7A58DE8D"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3.00 </w:t>
            </w:r>
          </w:p>
        </w:tc>
      </w:tr>
      <w:tr w:rsidR="00DD0E35" w:rsidRPr="000059DB" w14:paraId="3C1103DB" w14:textId="77777777" w:rsidTr="00DD0E35">
        <w:trPr>
          <w:trHeight w:val="100"/>
        </w:trPr>
        <w:tc>
          <w:tcPr>
            <w:tcW w:w="1350" w:type="dxa"/>
          </w:tcPr>
          <w:p w14:paraId="525811E6" w14:textId="70436BB1" w:rsidR="00DD0E35" w:rsidRPr="000059DB" w:rsidRDefault="00FE03BD">
            <w:pPr>
              <w:pStyle w:val="Default"/>
              <w:rPr>
                <w:rFonts w:ascii="Cambria" w:hAnsi="Cambria"/>
                <w:color w:val="0070C0"/>
                <w:sz w:val="22"/>
                <w:szCs w:val="22"/>
              </w:rPr>
            </w:pPr>
            <w:r>
              <w:rPr>
                <w:rFonts w:ascii="Cambria" w:hAnsi="Cambria"/>
                <w:color w:val="0070C0"/>
                <w:sz w:val="22"/>
                <w:szCs w:val="22"/>
              </w:rPr>
              <w:t>79.5-83.4</w:t>
            </w:r>
          </w:p>
        </w:tc>
        <w:tc>
          <w:tcPr>
            <w:tcW w:w="990" w:type="dxa"/>
          </w:tcPr>
          <w:p w14:paraId="17B38D02"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B- </w:t>
            </w:r>
          </w:p>
        </w:tc>
        <w:tc>
          <w:tcPr>
            <w:tcW w:w="1170" w:type="dxa"/>
          </w:tcPr>
          <w:p w14:paraId="5E354125"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2.67 </w:t>
            </w:r>
          </w:p>
        </w:tc>
      </w:tr>
      <w:tr w:rsidR="00DD0E35" w:rsidRPr="000059DB" w14:paraId="3A598DF8" w14:textId="77777777" w:rsidTr="00DD0E35">
        <w:trPr>
          <w:trHeight w:val="100"/>
        </w:trPr>
        <w:tc>
          <w:tcPr>
            <w:tcW w:w="1350" w:type="dxa"/>
          </w:tcPr>
          <w:p w14:paraId="73CDB31C" w14:textId="67FF73EB" w:rsidR="00DD0E35" w:rsidRPr="000059DB" w:rsidRDefault="00FE03BD">
            <w:pPr>
              <w:pStyle w:val="Default"/>
              <w:rPr>
                <w:rFonts w:ascii="Cambria" w:hAnsi="Cambria"/>
                <w:color w:val="0070C0"/>
                <w:sz w:val="22"/>
                <w:szCs w:val="22"/>
              </w:rPr>
            </w:pPr>
            <w:r>
              <w:rPr>
                <w:rFonts w:ascii="Cambria" w:hAnsi="Cambria"/>
                <w:color w:val="0070C0"/>
                <w:sz w:val="22"/>
                <w:szCs w:val="22"/>
              </w:rPr>
              <w:t>77.5-79.4</w:t>
            </w:r>
          </w:p>
        </w:tc>
        <w:tc>
          <w:tcPr>
            <w:tcW w:w="990" w:type="dxa"/>
          </w:tcPr>
          <w:p w14:paraId="355D2F1C"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C+ </w:t>
            </w:r>
          </w:p>
        </w:tc>
        <w:tc>
          <w:tcPr>
            <w:tcW w:w="1170" w:type="dxa"/>
          </w:tcPr>
          <w:p w14:paraId="52E51B6A"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2.33 </w:t>
            </w:r>
          </w:p>
        </w:tc>
      </w:tr>
      <w:tr w:rsidR="00DD0E35" w:rsidRPr="000059DB" w14:paraId="221D5346" w14:textId="77777777" w:rsidTr="00DD0E35">
        <w:trPr>
          <w:trHeight w:val="100"/>
        </w:trPr>
        <w:tc>
          <w:tcPr>
            <w:tcW w:w="1350" w:type="dxa"/>
          </w:tcPr>
          <w:p w14:paraId="18A8427B" w14:textId="6A5C4A7A" w:rsidR="00DD0E35" w:rsidRPr="000059DB" w:rsidRDefault="00FE03BD">
            <w:pPr>
              <w:pStyle w:val="Default"/>
              <w:rPr>
                <w:rFonts w:ascii="Cambria" w:hAnsi="Cambria"/>
                <w:color w:val="0070C0"/>
                <w:sz w:val="22"/>
                <w:szCs w:val="22"/>
              </w:rPr>
            </w:pPr>
            <w:r>
              <w:rPr>
                <w:rFonts w:ascii="Cambria" w:hAnsi="Cambria"/>
                <w:color w:val="0070C0"/>
                <w:sz w:val="22"/>
                <w:szCs w:val="22"/>
              </w:rPr>
              <w:t>73.5-77.4</w:t>
            </w:r>
          </w:p>
        </w:tc>
        <w:tc>
          <w:tcPr>
            <w:tcW w:w="990" w:type="dxa"/>
          </w:tcPr>
          <w:p w14:paraId="0A0B24EE"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C </w:t>
            </w:r>
          </w:p>
        </w:tc>
        <w:tc>
          <w:tcPr>
            <w:tcW w:w="1170" w:type="dxa"/>
          </w:tcPr>
          <w:p w14:paraId="6894736F"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2.00 </w:t>
            </w:r>
          </w:p>
        </w:tc>
      </w:tr>
      <w:tr w:rsidR="00DD0E35" w:rsidRPr="000059DB" w14:paraId="3B92EA52" w14:textId="77777777" w:rsidTr="00DD0E35">
        <w:trPr>
          <w:trHeight w:val="100"/>
        </w:trPr>
        <w:tc>
          <w:tcPr>
            <w:tcW w:w="1350" w:type="dxa"/>
          </w:tcPr>
          <w:p w14:paraId="5A107820" w14:textId="6BAC7194" w:rsidR="00DD0E35" w:rsidRPr="000059DB" w:rsidRDefault="00FE03BD">
            <w:pPr>
              <w:pStyle w:val="Default"/>
              <w:rPr>
                <w:rFonts w:ascii="Cambria" w:hAnsi="Cambria"/>
                <w:color w:val="0070C0"/>
                <w:sz w:val="22"/>
                <w:szCs w:val="22"/>
              </w:rPr>
            </w:pPr>
            <w:r>
              <w:rPr>
                <w:rFonts w:ascii="Cambria" w:hAnsi="Cambria"/>
                <w:color w:val="0070C0"/>
                <w:sz w:val="22"/>
                <w:szCs w:val="22"/>
              </w:rPr>
              <w:t>69.5-73.4</w:t>
            </w:r>
          </w:p>
        </w:tc>
        <w:tc>
          <w:tcPr>
            <w:tcW w:w="990" w:type="dxa"/>
          </w:tcPr>
          <w:p w14:paraId="44DD3958"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C- </w:t>
            </w:r>
          </w:p>
        </w:tc>
        <w:tc>
          <w:tcPr>
            <w:tcW w:w="1170" w:type="dxa"/>
          </w:tcPr>
          <w:p w14:paraId="75EDB703"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1.67 </w:t>
            </w:r>
          </w:p>
        </w:tc>
      </w:tr>
      <w:tr w:rsidR="00DD0E35" w:rsidRPr="000059DB" w14:paraId="7F5510C7" w14:textId="77777777" w:rsidTr="00DD0E35">
        <w:trPr>
          <w:trHeight w:val="100"/>
        </w:trPr>
        <w:tc>
          <w:tcPr>
            <w:tcW w:w="1350" w:type="dxa"/>
          </w:tcPr>
          <w:p w14:paraId="0E342BED" w14:textId="2CB2C7DE" w:rsidR="00DD0E35" w:rsidRPr="000059DB" w:rsidRDefault="00051869">
            <w:pPr>
              <w:pStyle w:val="Default"/>
              <w:rPr>
                <w:rFonts w:ascii="Cambria" w:hAnsi="Cambria"/>
                <w:color w:val="0070C0"/>
                <w:sz w:val="22"/>
                <w:szCs w:val="22"/>
              </w:rPr>
            </w:pPr>
            <w:r>
              <w:rPr>
                <w:rFonts w:ascii="Cambria" w:hAnsi="Cambria"/>
                <w:color w:val="0070C0"/>
                <w:sz w:val="22"/>
                <w:szCs w:val="22"/>
              </w:rPr>
              <w:t>67.5-69.4</w:t>
            </w:r>
          </w:p>
        </w:tc>
        <w:tc>
          <w:tcPr>
            <w:tcW w:w="990" w:type="dxa"/>
          </w:tcPr>
          <w:p w14:paraId="0285D84D"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D+ </w:t>
            </w:r>
          </w:p>
        </w:tc>
        <w:tc>
          <w:tcPr>
            <w:tcW w:w="1170" w:type="dxa"/>
          </w:tcPr>
          <w:p w14:paraId="63C7B419"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1.33 </w:t>
            </w:r>
          </w:p>
        </w:tc>
      </w:tr>
      <w:tr w:rsidR="00DD0E35" w:rsidRPr="000059DB" w14:paraId="278C920F" w14:textId="77777777" w:rsidTr="00DD0E35">
        <w:trPr>
          <w:trHeight w:val="100"/>
        </w:trPr>
        <w:tc>
          <w:tcPr>
            <w:tcW w:w="1350" w:type="dxa"/>
          </w:tcPr>
          <w:p w14:paraId="7D719022" w14:textId="3363D218" w:rsidR="00DD0E35" w:rsidRPr="000059DB" w:rsidRDefault="00A97D55">
            <w:pPr>
              <w:pStyle w:val="Default"/>
              <w:rPr>
                <w:rFonts w:ascii="Cambria" w:hAnsi="Cambria"/>
                <w:color w:val="0070C0"/>
                <w:sz w:val="22"/>
                <w:szCs w:val="22"/>
              </w:rPr>
            </w:pPr>
            <w:r>
              <w:rPr>
                <w:rFonts w:ascii="Cambria" w:hAnsi="Cambria"/>
                <w:color w:val="0070C0"/>
                <w:sz w:val="22"/>
                <w:szCs w:val="22"/>
              </w:rPr>
              <w:t>63.5-67.4</w:t>
            </w:r>
          </w:p>
        </w:tc>
        <w:tc>
          <w:tcPr>
            <w:tcW w:w="990" w:type="dxa"/>
          </w:tcPr>
          <w:p w14:paraId="08B373A6"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D </w:t>
            </w:r>
          </w:p>
        </w:tc>
        <w:tc>
          <w:tcPr>
            <w:tcW w:w="1170" w:type="dxa"/>
          </w:tcPr>
          <w:p w14:paraId="67684E31"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1.00 </w:t>
            </w:r>
          </w:p>
        </w:tc>
      </w:tr>
      <w:tr w:rsidR="00DD0E35" w:rsidRPr="000059DB" w14:paraId="3476F7F4" w14:textId="77777777" w:rsidTr="00DD0E35">
        <w:trPr>
          <w:trHeight w:val="100"/>
        </w:trPr>
        <w:tc>
          <w:tcPr>
            <w:tcW w:w="1350" w:type="dxa"/>
          </w:tcPr>
          <w:p w14:paraId="56CBFE46" w14:textId="2EBDCEB9" w:rsidR="00DD0E35" w:rsidRPr="000059DB" w:rsidRDefault="00162BC6">
            <w:pPr>
              <w:pStyle w:val="Default"/>
              <w:rPr>
                <w:rFonts w:ascii="Cambria" w:hAnsi="Cambria"/>
                <w:color w:val="0070C0"/>
                <w:sz w:val="22"/>
                <w:szCs w:val="22"/>
              </w:rPr>
            </w:pPr>
            <w:r>
              <w:rPr>
                <w:rFonts w:ascii="Cambria" w:hAnsi="Cambria"/>
                <w:color w:val="0070C0"/>
                <w:sz w:val="22"/>
                <w:szCs w:val="22"/>
              </w:rPr>
              <w:t>59.5-63.4</w:t>
            </w:r>
          </w:p>
        </w:tc>
        <w:tc>
          <w:tcPr>
            <w:tcW w:w="990" w:type="dxa"/>
          </w:tcPr>
          <w:p w14:paraId="6AE69F70"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D- </w:t>
            </w:r>
          </w:p>
        </w:tc>
        <w:tc>
          <w:tcPr>
            <w:tcW w:w="1170" w:type="dxa"/>
          </w:tcPr>
          <w:p w14:paraId="2C7F8DFD"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0.67 </w:t>
            </w:r>
          </w:p>
        </w:tc>
      </w:tr>
      <w:tr w:rsidR="00DD0E35" w:rsidRPr="000059DB" w14:paraId="24F40FD6" w14:textId="77777777" w:rsidTr="00DD0E35">
        <w:trPr>
          <w:trHeight w:val="100"/>
        </w:trPr>
        <w:tc>
          <w:tcPr>
            <w:tcW w:w="1350" w:type="dxa"/>
          </w:tcPr>
          <w:p w14:paraId="53132BB3" w14:textId="70F4554B"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0 - 59.</w:t>
            </w:r>
            <w:r w:rsidR="00162BC6">
              <w:rPr>
                <w:rFonts w:ascii="Cambria" w:hAnsi="Cambria"/>
                <w:color w:val="0070C0"/>
                <w:sz w:val="22"/>
                <w:szCs w:val="22"/>
              </w:rPr>
              <w:t>4</w:t>
            </w:r>
          </w:p>
        </w:tc>
        <w:tc>
          <w:tcPr>
            <w:tcW w:w="990" w:type="dxa"/>
          </w:tcPr>
          <w:p w14:paraId="218046A0"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E </w:t>
            </w:r>
          </w:p>
        </w:tc>
        <w:tc>
          <w:tcPr>
            <w:tcW w:w="1170" w:type="dxa"/>
          </w:tcPr>
          <w:p w14:paraId="51221E5F" w14:textId="77777777" w:rsidR="00DD0E35" w:rsidRPr="000059DB" w:rsidRDefault="00DD0E35">
            <w:pPr>
              <w:pStyle w:val="Default"/>
              <w:rPr>
                <w:rFonts w:ascii="Cambria" w:hAnsi="Cambria"/>
                <w:color w:val="0070C0"/>
                <w:sz w:val="22"/>
                <w:szCs w:val="22"/>
              </w:rPr>
            </w:pPr>
            <w:r w:rsidRPr="000059DB">
              <w:rPr>
                <w:rFonts w:ascii="Cambria" w:hAnsi="Cambria"/>
                <w:color w:val="0070C0"/>
                <w:sz w:val="22"/>
                <w:szCs w:val="22"/>
              </w:rPr>
              <w:t xml:space="preserve">0.00 </w:t>
            </w:r>
          </w:p>
        </w:tc>
      </w:tr>
    </w:tbl>
    <w:p w14:paraId="421038BE" w14:textId="77777777" w:rsidR="00820834" w:rsidRPr="000059DB" w:rsidRDefault="00820834" w:rsidP="00820834"/>
    <w:p w14:paraId="31FCE45D" w14:textId="24BB77CC" w:rsidR="00DA39BF" w:rsidRDefault="005C0342" w:rsidP="007938E1">
      <w:pPr>
        <w:autoSpaceDE w:val="0"/>
        <w:autoSpaceDN w:val="0"/>
        <w:adjustRightInd w:val="0"/>
        <w:rPr>
          <w:rFonts w:cs="Calibri"/>
          <w:b/>
          <w:i/>
          <w:szCs w:val="22"/>
        </w:rPr>
      </w:pPr>
      <w:r>
        <w:rPr>
          <w:rFonts w:cs="Calibri"/>
          <w:b/>
          <w:i/>
          <w:szCs w:val="22"/>
        </w:rPr>
        <w:t>Attendance</w:t>
      </w:r>
      <w:r w:rsidR="0014020C">
        <w:rPr>
          <w:rFonts w:cs="Calibri"/>
          <w:b/>
          <w:i/>
          <w:szCs w:val="22"/>
        </w:rPr>
        <w:t xml:space="preserve"> Policy:</w:t>
      </w:r>
    </w:p>
    <w:p w14:paraId="1C1A7D83" w14:textId="37B424AA" w:rsidR="005C0342" w:rsidRPr="005C0342" w:rsidRDefault="005C0342" w:rsidP="005C0342">
      <w:pPr>
        <w:autoSpaceDE w:val="0"/>
        <w:autoSpaceDN w:val="0"/>
        <w:adjustRightInd w:val="0"/>
        <w:rPr>
          <w:rFonts w:cs="Calibri"/>
          <w:bCs/>
          <w:iCs/>
          <w:szCs w:val="22"/>
        </w:rPr>
      </w:pPr>
      <w:r w:rsidRPr="005C0342">
        <w:rPr>
          <w:rFonts w:cs="Calibri"/>
          <w:b/>
          <w:i/>
          <w:szCs w:val="22"/>
        </w:rPr>
        <w:t xml:space="preserve">Absences:  </w:t>
      </w:r>
      <w:r w:rsidRPr="005C0342">
        <w:rPr>
          <w:rFonts w:cs="Calibri"/>
          <w:bCs/>
          <w:iCs/>
          <w:szCs w:val="22"/>
        </w:rPr>
        <w:t xml:space="preserve">Excused absences must be consistent with university policies and can be found here: </w:t>
      </w:r>
      <w:hyperlink r:id="rId11" w:history="1">
        <w:r w:rsidR="001E21B7" w:rsidRPr="001E21B7">
          <w:rPr>
            <w:rStyle w:val="Hyperlink"/>
            <w:rFonts w:cs="Calibri"/>
            <w:bCs/>
            <w:iCs/>
            <w:szCs w:val="22"/>
          </w:rPr>
          <w:t>Attendance Policies &lt; University of Florida</w:t>
        </w:r>
      </w:hyperlink>
    </w:p>
    <w:p w14:paraId="3F4DD153" w14:textId="77777777" w:rsidR="005C0342" w:rsidRPr="005C0342" w:rsidRDefault="005C0342" w:rsidP="005C0342">
      <w:pPr>
        <w:autoSpaceDE w:val="0"/>
        <w:autoSpaceDN w:val="0"/>
        <w:adjustRightInd w:val="0"/>
        <w:rPr>
          <w:rFonts w:cs="Calibri"/>
          <w:bCs/>
          <w:iCs/>
          <w:szCs w:val="22"/>
        </w:rPr>
      </w:pPr>
    </w:p>
    <w:p w14:paraId="2764229D" w14:textId="77777777" w:rsidR="005C0342" w:rsidRPr="005C0342" w:rsidRDefault="005C0342" w:rsidP="005C0342">
      <w:pPr>
        <w:autoSpaceDE w:val="0"/>
        <w:autoSpaceDN w:val="0"/>
        <w:adjustRightInd w:val="0"/>
        <w:rPr>
          <w:rFonts w:cs="Calibri"/>
          <w:bCs/>
          <w:iCs/>
          <w:szCs w:val="22"/>
        </w:rPr>
      </w:pPr>
      <w:r w:rsidRPr="005C0342">
        <w:rPr>
          <w:rFonts w:cs="Calibri"/>
          <w:bCs/>
          <w:iCs/>
          <w:szCs w:val="22"/>
        </w:rPr>
        <w:t>Students are expected to arrive on time and attend all classes and labs.  Students are expected to read assignments and TAKE NOTES within lab notebook as guided on the lab notebook best practices. Cell phone use is not allowed during class.  Homework assignments are due in class on the day specified for full credit a 10% deduction until the start of the next class, a 20% until the start of the second class day after assignment due date, and a 30% deduction will be given until the start of the third class day following the assignment due date. Late assignments for homework will only be accepted three class days after the assignment is due, no further assignments will be accepted unless under an excused absence and arranged with the instructor. Students are expected to participate in discussion and have read assigned readings prior to lab or class. Students missing a lab for unexcused absences will get a zero for that lab grade. Students who have an excused absence that is documented for a lab will need to arrange a makeup lab (often virtual) with the instructor and TA.</w:t>
      </w:r>
    </w:p>
    <w:p w14:paraId="4790A31F" w14:textId="77777777" w:rsidR="005C0342" w:rsidRPr="005C0342" w:rsidRDefault="005C0342" w:rsidP="005C0342">
      <w:pPr>
        <w:autoSpaceDE w:val="0"/>
        <w:autoSpaceDN w:val="0"/>
        <w:adjustRightInd w:val="0"/>
        <w:rPr>
          <w:rFonts w:cs="Calibri"/>
          <w:bCs/>
          <w:iCs/>
          <w:szCs w:val="22"/>
        </w:rPr>
      </w:pPr>
    </w:p>
    <w:p w14:paraId="12CEBE0C" w14:textId="77777777" w:rsidR="005C0342" w:rsidRPr="005C0342" w:rsidRDefault="005C0342" w:rsidP="005C0342">
      <w:pPr>
        <w:autoSpaceDE w:val="0"/>
        <w:autoSpaceDN w:val="0"/>
        <w:adjustRightInd w:val="0"/>
        <w:rPr>
          <w:rFonts w:cs="Calibri"/>
          <w:bCs/>
          <w:iCs/>
          <w:szCs w:val="22"/>
        </w:rPr>
      </w:pPr>
      <w:r w:rsidRPr="005C0342">
        <w:rPr>
          <w:rFonts w:cs="Calibri"/>
          <w:bCs/>
          <w:iCs/>
          <w:szCs w:val="22"/>
        </w:rPr>
        <w:t xml:space="preserve">More information on UF grading policy may be found at: </w:t>
      </w:r>
      <w:hyperlink r:id="rId12" w:history="1">
        <w:r w:rsidRPr="005C0342">
          <w:rPr>
            <w:rStyle w:val="Hyperlink"/>
            <w:rFonts w:cs="Calibri"/>
            <w:bCs/>
            <w:iCs/>
            <w:szCs w:val="22"/>
          </w:rPr>
          <w:t>https://catalog.ufl.edu/ugrad/current/regulations/info/grades.aspx</w:t>
        </w:r>
      </w:hyperlink>
    </w:p>
    <w:p w14:paraId="205D8769" w14:textId="77777777" w:rsidR="005C0342" w:rsidRPr="005C0342" w:rsidRDefault="005C0342" w:rsidP="005C0342">
      <w:pPr>
        <w:autoSpaceDE w:val="0"/>
        <w:autoSpaceDN w:val="0"/>
        <w:adjustRightInd w:val="0"/>
        <w:rPr>
          <w:rFonts w:cs="Calibri"/>
          <w:bCs/>
          <w:iCs/>
          <w:szCs w:val="22"/>
        </w:rPr>
      </w:pPr>
    </w:p>
    <w:p w14:paraId="2EC4B4C1" w14:textId="77777777" w:rsidR="0014020C" w:rsidRPr="005C0342" w:rsidRDefault="0014020C" w:rsidP="007938E1">
      <w:pPr>
        <w:autoSpaceDE w:val="0"/>
        <w:autoSpaceDN w:val="0"/>
        <w:adjustRightInd w:val="0"/>
        <w:rPr>
          <w:rFonts w:cs="Calibri"/>
          <w:bCs/>
          <w:i/>
          <w:szCs w:val="22"/>
        </w:rPr>
      </w:pPr>
    </w:p>
    <w:p w14:paraId="0189C7E9" w14:textId="268AB2DF" w:rsidR="007938E1" w:rsidRDefault="007938E1" w:rsidP="007938E1">
      <w:pPr>
        <w:autoSpaceDE w:val="0"/>
        <w:autoSpaceDN w:val="0"/>
        <w:adjustRightInd w:val="0"/>
        <w:rPr>
          <w:rFonts w:cs="Calibri"/>
          <w:b/>
          <w:i/>
          <w:szCs w:val="22"/>
        </w:rPr>
      </w:pPr>
      <w:r w:rsidRPr="000F0A51">
        <w:rPr>
          <w:rFonts w:cs="Calibri"/>
          <w:b/>
          <w:i/>
          <w:szCs w:val="22"/>
        </w:rPr>
        <w:t>Academic Policies &amp; Resources</w:t>
      </w:r>
    </w:p>
    <w:p w14:paraId="33E15616" w14:textId="700D11CC" w:rsidR="00D609FD" w:rsidRDefault="00E075BB" w:rsidP="00D8013A">
      <w:pPr>
        <w:autoSpaceDE w:val="0"/>
        <w:autoSpaceDN w:val="0"/>
        <w:adjustRightInd w:val="0"/>
        <w:rPr>
          <w:color w:val="000000"/>
          <w:szCs w:val="22"/>
        </w:rPr>
      </w:pPr>
      <w:r w:rsidRPr="000F0A51">
        <w:rPr>
          <w:color w:val="000000"/>
          <w:szCs w:val="22"/>
        </w:rPr>
        <w:t>To support consistent and accessible communication of university-wide student resources, instructors must include this link to academic policies and campus resources:</w:t>
      </w:r>
      <w:r w:rsidR="007938E1">
        <w:rPr>
          <w:color w:val="000000"/>
          <w:szCs w:val="22"/>
        </w:rPr>
        <w:t xml:space="preserve"> </w:t>
      </w:r>
      <w:hyperlink r:id="rId13" w:history="1">
        <w:r w:rsidR="007938E1" w:rsidRPr="00054783">
          <w:rPr>
            <w:rStyle w:val="Hyperlink"/>
            <w:szCs w:val="22"/>
          </w:rPr>
          <w:t>https://go.ufl.edu/syllabuspolicies</w:t>
        </w:r>
      </w:hyperlink>
      <w:r w:rsidRPr="000F0A51">
        <w:rPr>
          <w:color w:val="000000"/>
          <w:szCs w:val="22"/>
        </w:rPr>
        <w:t xml:space="preserve">. Instructor-specific guidelines for courses must accommodate these policies. </w:t>
      </w:r>
    </w:p>
    <w:p w14:paraId="6C565861" w14:textId="77777777" w:rsidR="00055E5A" w:rsidRPr="000059DB" w:rsidRDefault="00055E5A" w:rsidP="00BD2088">
      <w:pPr>
        <w:jc w:val="both"/>
        <w:rPr>
          <w:color w:val="000000"/>
          <w:szCs w:val="22"/>
        </w:rPr>
      </w:pPr>
    </w:p>
    <w:p w14:paraId="6FACEF14" w14:textId="3FD2E54C" w:rsidR="0039295A" w:rsidRPr="000059DB" w:rsidRDefault="0039295A" w:rsidP="0039295A">
      <w:pPr>
        <w:jc w:val="both"/>
        <w:rPr>
          <w:b/>
          <w:i/>
          <w:color w:val="000000"/>
          <w:szCs w:val="22"/>
        </w:rPr>
      </w:pPr>
      <w:r w:rsidRPr="000059DB">
        <w:rPr>
          <w:b/>
          <w:i/>
          <w:color w:val="000000"/>
          <w:szCs w:val="22"/>
        </w:rPr>
        <w:t xml:space="preserve">Commitment to a </w:t>
      </w:r>
      <w:r w:rsidR="00BB2A0E">
        <w:rPr>
          <w:b/>
          <w:i/>
          <w:color w:val="000000"/>
          <w:szCs w:val="22"/>
        </w:rPr>
        <w:t xml:space="preserve">Positive </w:t>
      </w:r>
      <w:r w:rsidR="00987CF7" w:rsidRPr="000059DB">
        <w:rPr>
          <w:b/>
          <w:i/>
          <w:color w:val="000000"/>
          <w:szCs w:val="22"/>
        </w:rPr>
        <w:t>L</w:t>
      </w:r>
      <w:r w:rsidRPr="000059DB">
        <w:rPr>
          <w:b/>
          <w:i/>
          <w:color w:val="000000"/>
          <w:szCs w:val="22"/>
        </w:rPr>
        <w:t xml:space="preserve">earning </w:t>
      </w:r>
      <w:r w:rsidR="00987CF7" w:rsidRPr="000059DB">
        <w:rPr>
          <w:b/>
          <w:i/>
          <w:color w:val="000000"/>
          <w:szCs w:val="22"/>
        </w:rPr>
        <w:t>E</w:t>
      </w:r>
      <w:r w:rsidRPr="000059DB">
        <w:rPr>
          <w:b/>
          <w:i/>
          <w:color w:val="000000"/>
          <w:szCs w:val="22"/>
        </w:rPr>
        <w:t>nvironment</w:t>
      </w:r>
    </w:p>
    <w:p w14:paraId="52653FB8" w14:textId="37A0D7F1" w:rsidR="008B3F3A" w:rsidRPr="000059DB" w:rsidRDefault="008B3F3A" w:rsidP="0039295A">
      <w:pPr>
        <w:jc w:val="both"/>
        <w:rPr>
          <w:color w:val="000000"/>
          <w:szCs w:val="22"/>
        </w:rPr>
      </w:pPr>
      <w:r w:rsidRPr="008B3F3A">
        <w:rPr>
          <w:color w:val="000000"/>
          <w:szCs w:val="22"/>
        </w:rPr>
        <w:t xml:space="preserve">The Herbert Wertheim College of Engineering values varied perspectives and lived experiences within our community and is committed to supporting the University’s core values.  </w:t>
      </w:r>
    </w:p>
    <w:p w14:paraId="548F6CE1" w14:textId="77777777" w:rsidR="0039295A" w:rsidRPr="000059DB" w:rsidRDefault="0039295A" w:rsidP="0039295A">
      <w:pPr>
        <w:jc w:val="both"/>
        <w:rPr>
          <w:color w:val="000000"/>
          <w:szCs w:val="22"/>
        </w:rPr>
      </w:pPr>
    </w:p>
    <w:p w14:paraId="248AEE4B" w14:textId="3088FC70" w:rsidR="0039295A" w:rsidRPr="000059DB" w:rsidRDefault="0039295A" w:rsidP="0039295A">
      <w:pPr>
        <w:jc w:val="both"/>
        <w:rPr>
          <w:color w:val="000000"/>
          <w:szCs w:val="22"/>
        </w:rPr>
      </w:pPr>
      <w:r w:rsidRPr="000059DB">
        <w:rPr>
          <w:color w:val="000000"/>
          <w:szCs w:val="22"/>
        </w:rPr>
        <w:t>If you feel like your performance in class is being impacted</w:t>
      </w:r>
      <w:r w:rsidR="00C708AC" w:rsidRPr="000059DB">
        <w:rPr>
          <w:color w:val="000000"/>
          <w:szCs w:val="22"/>
        </w:rPr>
        <w:t>,</w:t>
      </w:r>
      <w:r w:rsidRPr="000059DB">
        <w:rPr>
          <w:color w:val="000000"/>
          <w:szCs w:val="22"/>
        </w:rPr>
        <w:t xml:space="preserve"> please contact your instructor or any of the following:</w:t>
      </w:r>
    </w:p>
    <w:p w14:paraId="00E4696C" w14:textId="74C48362" w:rsidR="0039295A" w:rsidRPr="000059DB" w:rsidRDefault="0039295A" w:rsidP="0039295A">
      <w:pPr>
        <w:jc w:val="both"/>
        <w:rPr>
          <w:color w:val="000000"/>
          <w:szCs w:val="22"/>
        </w:rPr>
      </w:pPr>
      <w:r w:rsidRPr="000059DB">
        <w:rPr>
          <w:color w:val="000000"/>
          <w:szCs w:val="22"/>
        </w:rPr>
        <w:t xml:space="preserve">• Your academic advisor or </w:t>
      </w:r>
      <w:r w:rsidR="00A938A9">
        <w:rPr>
          <w:color w:val="000000"/>
          <w:szCs w:val="22"/>
        </w:rPr>
        <w:t>Undergraduate</w:t>
      </w:r>
      <w:r w:rsidRPr="000059DB">
        <w:rPr>
          <w:color w:val="000000"/>
          <w:szCs w:val="22"/>
        </w:rPr>
        <w:t xml:space="preserve"> Coordinator</w:t>
      </w:r>
    </w:p>
    <w:p w14:paraId="506B6F48" w14:textId="66778ED8" w:rsidR="002C555C" w:rsidRPr="000059DB" w:rsidRDefault="0039295A" w:rsidP="0039295A">
      <w:pPr>
        <w:jc w:val="both"/>
        <w:rPr>
          <w:color w:val="000000"/>
          <w:szCs w:val="22"/>
        </w:rPr>
      </w:pPr>
      <w:r w:rsidRPr="000059DB">
        <w:rPr>
          <w:color w:val="000000"/>
          <w:szCs w:val="22"/>
        </w:rPr>
        <w:t xml:space="preserve">• </w:t>
      </w:r>
      <w:r w:rsidR="002C555C" w:rsidRPr="002C555C">
        <w:rPr>
          <w:color w:val="000000"/>
          <w:szCs w:val="22"/>
        </w:rPr>
        <w:t xml:space="preserve">HWCOE Human Resources, 352-392-0904, </w:t>
      </w:r>
      <w:hyperlink r:id="rId14" w:history="1">
        <w:r w:rsidR="002C555C" w:rsidRPr="00EB5E5F">
          <w:rPr>
            <w:rStyle w:val="Hyperlink"/>
            <w:szCs w:val="22"/>
          </w:rPr>
          <w:t>student-support-hr@eng.ufl.edu</w:t>
        </w:r>
      </w:hyperlink>
      <w:r w:rsidR="002C555C">
        <w:rPr>
          <w:color w:val="000000"/>
          <w:szCs w:val="22"/>
        </w:rPr>
        <w:t xml:space="preserve"> </w:t>
      </w:r>
    </w:p>
    <w:p w14:paraId="483772EA" w14:textId="1021FF6B" w:rsidR="00C708AC" w:rsidRPr="000059DB" w:rsidRDefault="0039295A" w:rsidP="0039295A">
      <w:pPr>
        <w:jc w:val="both"/>
        <w:rPr>
          <w:color w:val="000000"/>
          <w:szCs w:val="22"/>
        </w:rPr>
      </w:pPr>
      <w:r w:rsidRPr="000059DB">
        <w:rPr>
          <w:color w:val="000000"/>
          <w:szCs w:val="22"/>
        </w:rPr>
        <w:t xml:space="preserve">• </w:t>
      </w:r>
      <w:r w:rsidR="00A938A9">
        <w:rPr>
          <w:color w:val="000000"/>
          <w:szCs w:val="22"/>
        </w:rPr>
        <w:t>Pam Dickrell</w:t>
      </w:r>
      <w:r w:rsidRPr="000059DB">
        <w:rPr>
          <w:color w:val="000000"/>
          <w:szCs w:val="22"/>
        </w:rPr>
        <w:t xml:space="preserve">, Associate Dean of Student Affairs, 352-392-2177, </w:t>
      </w:r>
      <w:hyperlink r:id="rId15" w:history="1">
        <w:r w:rsidR="00A938A9" w:rsidRPr="00A938A9">
          <w:rPr>
            <w:rStyle w:val="Hyperlink"/>
            <w:szCs w:val="22"/>
          </w:rPr>
          <w:t>pld@ufl.edu</w:t>
        </w:r>
      </w:hyperlink>
    </w:p>
    <w:p w14:paraId="5B17E774" w14:textId="05E38C7D" w:rsidR="00C95EC1" w:rsidRPr="00C95EC1" w:rsidRDefault="00C95EC1" w:rsidP="00D8013A">
      <w:pPr>
        <w:pStyle w:val="PlainText"/>
        <w:jc w:val="both"/>
        <w:rPr>
          <w:szCs w:val="22"/>
        </w:rPr>
      </w:pPr>
    </w:p>
    <w:sectPr w:rsidR="00C95EC1" w:rsidRPr="00C95EC1" w:rsidSect="004547C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FA85" w14:textId="77777777" w:rsidR="00682546" w:rsidRDefault="00682546" w:rsidP="00BE1628">
      <w:r>
        <w:separator/>
      </w:r>
    </w:p>
  </w:endnote>
  <w:endnote w:type="continuationSeparator" w:id="0">
    <w:p w14:paraId="3660906E" w14:textId="77777777" w:rsidR="00682546" w:rsidRDefault="00682546"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BC13" w14:textId="795BB72D" w:rsidR="00BE1628" w:rsidRPr="00BA6E7F" w:rsidRDefault="00383FC1" w:rsidP="00053C05">
    <w:pPr>
      <w:pStyle w:val="Footer"/>
      <w:tabs>
        <w:tab w:val="clear" w:pos="4680"/>
      </w:tabs>
      <w:rPr>
        <w:b/>
        <w:i/>
        <w:noProof/>
        <w:color w:val="0070C0"/>
        <w:sz w:val="20"/>
      </w:rPr>
    </w:pPr>
    <w:r>
      <w:rPr>
        <w:b/>
        <w:i/>
        <w:color w:val="0070C0"/>
        <w:sz w:val="20"/>
      </w:rPr>
      <w:t>Applications in Biological Engineering</w:t>
    </w:r>
    <w:r w:rsidR="00BA6E7F" w:rsidRPr="00BA6E7F">
      <w:rPr>
        <w:b/>
        <w:i/>
        <w:color w:val="0070C0"/>
        <w:sz w:val="20"/>
      </w:rPr>
      <w:t>,</w:t>
    </w:r>
    <w:r>
      <w:rPr>
        <w:b/>
        <w:i/>
        <w:color w:val="0070C0"/>
        <w:sz w:val="20"/>
      </w:rPr>
      <w:t xml:space="preserve"> ABE 3000c</w:t>
    </w:r>
    <w:r w:rsidR="00BA6E7F" w:rsidRPr="00BA6E7F">
      <w:rPr>
        <w:b/>
        <w:i/>
        <w:color w:val="0070C0"/>
        <w:sz w:val="20"/>
      </w:rPr>
      <w:tab/>
      <w:t xml:space="preserve">Page </w:t>
    </w:r>
    <w:r w:rsidR="00BA6E7F" w:rsidRPr="00BA6E7F">
      <w:rPr>
        <w:b/>
        <w:i/>
        <w:color w:val="0070C0"/>
        <w:sz w:val="20"/>
      </w:rPr>
      <w:fldChar w:fldCharType="begin"/>
    </w:r>
    <w:r w:rsidR="00BA6E7F" w:rsidRPr="00BA6E7F">
      <w:rPr>
        <w:b/>
        <w:i/>
        <w:color w:val="0070C0"/>
        <w:sz w:val="20"/>
      </w:rPr>
      <w:instrText xml:space="preserve"> PAGE   \* MERGEFORMAT </w:instrText>
    </w:r>
    <w:r w:rsidR="00BA6E7F" w:rsidRPr="00BA6E7F">
      <w:rPr>
        <w:b/>
        <w:i/>
        <w:color w:val="0070C0"/>
        <w:sz w:val="20"/>
      </w:rPr>
      <w:fldChar w:fldCharType="separate"/>
    </w:r>
    <w:r w:rsidR="00AF1FCD">
      <w:rPr>
        <w:b/>
        <w:i/>
        <w:noProof/>
        <w:color w:val="0070C0"/>
        <w:sz w:val="20"/>
      </w:rPr>
      <w:t>5</w:t>
    </w:r>
    <w:r w:rsidR="00BA6E7F" w:rsidRPr="00BA6E7F">
      <w:rPr>
        <w:b/>
        <w:i/>
        <w:noProof/>
        <w:color w:val="0070C0"/>
        <w:sz w:val="20"/>
      </w:rPr>
      <w:fldChar w:fldCharType="end"/>
    </w:r>
    <w:r w:rsidR="00053C05">
      <w:rPr>
        <w:b/>
        <w:i/>
        <w:noProof/>
        <w:color w:val="0070C0"/>
        <w:sz w:val="20"/>
      </w:rPr>
      <w:t xml:space="preserve"> </w:t>
    </w:r>
  </w:p>
  <w:p w14:paraId="362A0C01" w14:textId="5C3D2B56" w:rsidR="00BA6E7F" w:rsidRPr="00BA6E7F" w:rsidRDefault="00383FC1" w:rsidP="00053C05">
    <w:pPr>
      <w:pStyle w:val="Footer"/>
      <w:tabs>
        <w:tab w:val="clear" w:pos="4680"/>
      </w:tabs>
      <w:rPr>
        <w:b/>
        <w:i/>
        <w:color w:val="0070C0"/>
        <w:sz w:val="20"/>
      </w:rPr>
    </w:pPr>
    <w:r>
      <w:rPr>
        <w:b/>
        <w:i/>
        <w:noProof/>
        <w:color w:val="0070C0"/>
        <w:sz w:val="20"/>
      </w:rPr>
      <w:t>Melanie Correll Spring 2026</w:t>
    </w:r>
    <w:r w:rsidR="00053C05">
      <w:rPr>
        <w:b/>
        <w:i/>
        <w:noProof/>
        <w:color w:val="0070C0"/>
        <w:sz w:val="20"/>
      </w:rPr>
      <w:tab/>
    </w:r>
    <w:r w:rsidR="00065506">
      <w:rPr>
        <w:b/>
        <w:i/>
        <w:noProof/>
        <w:color w:val="0070C0"/>
        <w:sz w:val="18"/>
        <w:szCs w:val="18"/>
      </w:rPr>
      <w:t>v</w:t>
    </w:r>
    <w:r w:rsidR="00F96D90">
      <w:rPr>
        <w:b/>
        <w:i/>
        <w:noProof/>
        <w:color w:val="0070C0"/>
        <w:sz w:val="18"/>
        <w:szCs w:val="18"/>
      </w:rPr>
      <w:t>11/5/2026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5197" w14:textId="77777777" w:rsidR="00682546" w:rsidRDefault="00682546" w:rsidP="00BE1628">
      <w:r>
        <w:separator/>
      </w:r>
    </w:p>
  </w:footnote>
  <w:footnote w:type="continuationSeparator" w:id="0">
    <w:p w14:paraId="2000CCC6" w14:textId="77777777" w:rsidR="00682546" w:rsidRDefault="00682546"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C7310"/>
    <w:multiLevelType w:val="multilevel"/>
    <w:tmpl w:val="F2BE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A26A3"/>
    <w:multiLevelType w:val="hybridMultilevel"/>
    <w:tmpl w:val="FD32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E2FE3"/>
    <w:multiLevelType w:val="hybridMultilevel"/>
    <w:tmpl w:val="E0B40F98"/>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87AB1"/>
    <w:multiLevelType w:val="multilevel"/>
    <w:tmpl w:val="6534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23727"/>
    <w:multiLevelType w:val="multilevel"/>
    <w:tmpl w:val="028C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66FD2"/>
    <w:multiLevelType w:val="multilevel"/>
    <w:tmpl w:val="0FFEC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B62B69"/>
    <w:multiLevelType w:val="multilevel"/>
    <w:tmpl w:val="0AA4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6CA5C6F"/>
    <w:multiLevelType w:val="multilevel"/>
    <w:tmpl w:val="A51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4934AC"/>
    <w:multiLevelType w:val="multilevel"/>
    <w:tmpl w:val="D144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8010E3"/>
    <w:multiLevelType w:val="multilevel"/>
    <w:tmpl w:val="EA7C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F117DA"/>
    <w:multiLevelType w:val="multilevel"/>
    <w:tmpl w:val="609A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7A1496"/>
    <w:multiLevelType w:val="multilevel"/>
    <w:tmpl w:val="ECDA0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BC211C"/>
    <w:multiLevelType w:val="hybridMultilevel"/>
    <w:tmpl w:val="826E2ABC"/>
    <w:lvl w:ilvl="0" w:tplc="A552C7A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5"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AD22DAC"/>
    <w:multiLevelType w:val="multilevel"/>
    <w:tmpl w:val="9AFE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65336">
    <w:abstractNumId w:val="26"/>
  </w:num>
  <w:num w:numId="2" w16cid:durableId="1030060737">
    <w:abstractNumId w:val="11"/>
  </w:num>
  <w:num w:numId="3" w16cid:durableId="1845895037">
    <w:abstractNumId w:val="10"/>
  </w:num>
  <w:num w:numId="4" w16cid:durableId="436104705">
    <w:abstractNumId w:val="20"/>
  </w:num>
  <w:num w:numId="5" w16cid:durableId="483083572">
    <w:abstractNumId w:val="14"/>
  </w:num>
  <w:num w:numId="6" w16cid:durableId="1246765053">
    <w:abstractNumId w:val="18"/>
  </w:num>
  <w:num w:numId="7" w16cid:durableId="1209293912">
    <w:abstractNumId w:val="17"/>
  </w:num>
  <w:num w:numId="8" w16cid:durableId="259946881">
    <w:abstractNumId w:val="22"/>
  </w:num>
  <w:num w:numId="9" w16cid:durableId="1019505685">
    <w:abstractNumId w:val="16"/>
  </w:num>
  <w:num w:numId="10" w16cid:durableId="727071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612801">
    <w:abstractNumId w:val="1"/>
  </w:num>
  <w:num w:numId="12" w16cid:durableId="301424610">
    <w:abstractNumId w:val="0"/>
  </w:num>
  <w:num w:numId="13" w16cid:durableId="1861509541">
    <w:abstractNumId w:val="12"/>
  </w:num>
  <w:num w:numId="14" w16cid:durableId="1494638475">
    <w:abstractNumId w:val="7"/>
  </w:num>
  <w:num w:numId="15" w16cid:durableId="1133987826">
    <w:abstractNumId w:val="25"/>
  </w:num>
  <w:num w:numId="16" w16cid:durableId="335420109">
    <w:abstractNumId w:val="3"/>
  </w:num>
  <w:num w:numId="17" w16cid:durableId="1448893172">
    <w:abstractNumId w:val="2"/>
  </w:num>
  <w:num w:numId="18" w16cid:durableId="469565649">
    <w:abstractNumId w:val="8"/>
  </w:num>
  <w:num w:numId="19" w16cid:durableId="305553595">
    <w:abstractNumId w:val="21"/>
  </w:num>
  <w:num w:numId="20" w16cid:durableId="1305819667">
    <w:abstractNumId w:val="19"/>
  </w:num>
  <w:num w:numId="21" w16cid:durableId="1184516630">
    <w:abstractNumId w:val="13"/>
  </w:num>
  <w:num w:numId="22" w16cid:durableId="1426850214">
    <w:abstractNumId w:val="6"/>
  </w:num>
  <w:num w:numId="23" w16cid:durableId="301814155">
    <w:abstractNumId w:val="24"/>
  </w:num>
  <w:num w:numId="24" w16cid:durableId="1925146183">
    <w:abstractNumId w:val="15"/>
  </w:num>
  <w:num w:numId="25" w16cid:durableId="790517220">
    <w:abstractNumId w:val="23"/>
  </w:num>
  <w:num w:numId="26" w16cid:durableId="998003594">
    <w:abstractNumId w:val="5"/>
  </w:num>
  <w:num w:numId="27" w16cid:durableId="860167023">
    <w:abstractNumId w:val="9"/>
  </w:num>
  <w:num w:numId="28" w16cid:durableId="388656645">
    <w:abstractNumId w:val="4"/>
  </w:num>
  <w:num w:numId="29" w16cid:durableId="19591381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7D"/>
    <w:rsid w:val="000059DB"/>
    <w:rsid w:val="00005F7B"/>
    <w:rsid w:val="000143B9"/>
    <w:rsid w:val="00015FB0"/>
    <w:rsid w:val="00043082"/>
    <w:rsid w:val="00051869"/>
    <w:rsid w:val="00053C05"/>
    <w:rsid w:val="00053E6C"/>
    <w:rsid w:val="00055E5A"/>
    <w:rsid w:val="00065506"/>
    <w:rsid w:val="0009795A"/>
    <w:rsid w:val="000979A4"/>
    <w:rsid w:val="000E049E"/>
    <w:rsid w:val="000E47C0"/>
    <w:rsid w:val="00103F43"/>
    <w:rsid w:val="0014020C"/>
    <w:rsid w:val="001512E8"/>
    <w:rsid w:val="00154552"/>
    <w:rsid w:val="00162BC6"/>
    <w:rsid w:val="00167DB4"/>
    <w:rsid w:val="00170EBA"/>
    <w:rsid w:val="00180A7A"/>
    <w:rsid w:val="001A6316"/>
    <w:rsid w:val="001B26B3"/>
    <w:rsid w:val="001C18FE"/>
    <w:rsid w:val="001E035F"/>
    <w:rsid w:val="001E21B7"/>
    <w:rsid w:val="001F5CE0"/>
    <w:rsid w:val="00240CB9"/>
    <w:rsid w:val="00242D15"/>
    <w:rsid w:val="002460F4"/>
    <w:rsid w:val="00262C77"/>
    <w:rsid w:val="00275C3F"/>
    <w:rsid w:val="00280A5C"/>
    <w:rsid w:val="00294140"/>
    <w:rsid w:val="002A23A1"/>
    <w:rsid w:val="002A5D27"/>
    <w:rsid w:val="002A64B7"/>
    <w:rsid w:val="002B1137"/>
    <w:rsid w:val="002C555C"/>
    <w:rsid w:val="002E03B5"/>
    <w:rsid w:val="002E3A66"/>
    <w:rsid w:val="002F1CB9"/>
    <w:rsid w:val="003156C6"/>
    <w:rsid w:val="00315D22"/>
    <w:rsid w:val="0035309D"/>
    <w:rsid w:val="0036629D"/>
    <w:rsid w:val="003831FA"/>
    <w:rsid w:val="00383FC1"/>
    <w:rsid w:val="0039295A"/>
    <w:rsid w:val="003A0CBA"/>
    <w:rsid w:val="003B65D2"/>
    <w:rsid w:val="00402DE7"/>
    <w:rsid w:val="00411D5E"/>
    <w:rsid w:val="0042747A"/>
    <w:rsid w:val="00427A9D"/>
    <w:rsid w:val="004468A9"/>
    <w:rsid w:val="00446E03"/>
    <w:rsid w:val="0045064C"/>
    <w:rsid w:val="004547C4"/>
    <w:rsid w:val="004643F0"/>
    <w:rsid w:val="00467129"/>
    <w:rsid w:val="00471291"/>
    <w:rsid w:val="00480431"/>
    <w:rsid w:val="00484E33"/>
    <w:rsid w:val="00484E84"/>
    <w:rsid w:val="00486F4A"/>
    <w:rsid w:val="004A40D0"/>
    <w:rsid w:val="004A4580"/>
    <w:rsid w:val="004A77EE"/>
    <w:rsid w:val="004C0D3F"/>
    <w:rsid w:val="004D0AEF"/>
    <w:rsid w:val="004D7DFD"/>
    <w:rsid w:val="004E4C78"/>
    <w:rsid w:val="004F04F2"/>
    <w:rsid w:val="005240FA"/>
    <w:rsid w:val="00564AD3"/>
    <w:rsid w:val="005823E8"/>
    <w:rsid w:val="005A427F"/>
    <w:rsid w:val="005B1CED"/>
    <w:rsid w:val="005C0342"/>
    <w:rsid w:val="005D665F"/>
    <w:rsid w:val="005E6E52"/>
    <w:rsid w:val="005F1897"/>
    <w:rsid w:val="005F7F3E"/>
    <w:rsid w:val="00611258"/>
    <w:rsid w:val="006121DE"/>
    <w:rsid w:val="00620988"/>
    <w:rsid w:val="006221C1"/>
    <w:rsid w:val="00627CE4"/>
    <w:rsid w:val="006371D1"/>
    <w:rsid w:val="00640AF7"/>
    <w:rsid w:val="006472C3"/>
    <w:rsid w:val="00653592"/>
    <w:rsid w:val="00661E7B"/>
    <w:rsid w:val="006717F2"/>
    <w:rsid w:val="0068125E"/>
    <w:rsid w:val="00682546"/>
    <w:rsid w:val="006867D8"/>
    <w:rsid w:val="006B2381"/>
    <w:rsid w:val="006B78E2"/>
    <w:rsid w:val="006D3E0B"/>
    <w:rsid w:val="006D7E9A"/>
    <w:rsid w:val="006E7FC7"/>
    <w:rsid w:val="00700F97"/>
    <w:rsid w:val="00716A94"/>
    <w:rsid w:val="007309D5"/>
    <w:rsid w:val="0075038A"/>
    <w:rsid w:val="007539EC"/>
    <w:rsid w:val="00753A75"/>
    <w:rsid w:val="007543D6"/>
    <w:rsid w:val="00756062"/>
    <w:rsid w:val="007636D8"/>
    <w:rsid w:val="007938E1"/>
    <w:rsid w:val="007A3FA2"/>
    <w:rsid w:val="007B4423"/>
    <w:rsid w:val="007B4FCA"/>
    <w:rsid w:val="007C24AB"/>
    <w:rsid w:val="007D3099"/>
    <w:rsid w:val="007D5860"/>
    <w:rsid w:val="008015F9"/>
    <w:rsid w:val="00820834"/>
    <w:rsid w:val="008618A9"/>
    <w:rsid w:val="008754E4"/>
    <w:rsid w:val="00894234"/>
    <w:rsid w:val="008B3F3A"/>
    <w:rsid w:val="008C7A17"/>
    <w:rsid w:val="008E6824"/>
    <w:rsid w:val="008E6A78"/>
    <w:rsid w:val="00901964"/>
    <w:rsid w:val="009323B9"/>
    <w:rsid w:val="00940FAD"/>
    <w:rsid w:val="00941300"/>
    <w:rsid w:val="009531A2"/>
    <w:rsid w:val="00953F48"/>
    <w:rsid w:val="00955689"/>
    <w:rsid w:val="009576C2"/>
    <w:rsid w:val="00962881"/>
    <w:rsid w:val="00970FF2"/>
    <w:rsid w:val="0097114A"/>
    <w:rsid w:val="0098386C"/>
    <w:rsid w:val="00987CF7"/>
    <w:rsid w:val="009945F2"/>
    <w:rsid w:val="00994AD2"/>
    <w:rsid w:val="009A0F7D"/>
    <w:rsid w:val="009A6B11"/>
    <w:rsid w:val="009C0410"/>
    <w:rsid w:val="009C609B"/>
    <w:rsid w:val="009D77BF"/>
    <w:rsid w:val="009F08C0"/>
    <w:rsid w:val="009F525D"/>
    <w:rsid w:val="00A113F9"/>
    <w:rsid w:val="00A175D8"/>
    <w:rsid w:val="00A17B74"/>
    <w:rsid w:val="00A34A51"/>
    <w:rsid w:val="00A34B9C"/>
    <w:rsid w:val="00A42FE9"/>
    <w:rsid w:val="00A60833"/>
    <w:rsid w:val="00A824AC"/>
    <w:rsid w:val="00A938A9"/>
    <w:rsid w:val="00A97D55"/>
    <w:rsid w:val="00AB22AF"/>
    <w:rsid w:val="00AB5737"/>
    <w:rsid w:val="00AB63EB"/>
    <w:rsid w:val="00AE1653"/>
    <w:rsid w:val="00AE5CA1"/>
    <w:rsid w:val="00AF1FCD"/>
    <w:rsid w:val="00AF52E6"/>
    <w:rsid w:val="00AF6833"/>
    <w:rsid w:val="00B032C4"/>
    <w:rsid w:val="00B17B72"/>
    <w:rsid w:val="00B32BCD"/>
    <w:rsid w:val="00B47D51"/>
    <w:rsid w:val="00B62E63"/>
    <w:rsid w:val="00B630FD"/>
    <w:rsid w:val="00B96080"/>
    <w:rsid w:val="00B96512"/>
    <w:rsid w:val="00BA6E7F"/>
    <w:rsid w:val="00BB2A0E"/>
    <w:rsid w:val="00BB37AC"/>
    <w:rsid w:val="00BC211D"/>
    <w:rsid w:val="00BC3B05"/>
    <w:rsid w:val="00BD2088"/>
    <w:rsid w:val="00BE1628"/>
    <w:rsid w:val="00BE2C7E"/>
    <w:rsid w:val="00BF24FD"/>
    <w:rsid w:val="00BF4C6B"/>
    <w:rsid w:val="00C009AB"/>
    <w:rsid w:val="00C01F17"/>
    <w:rsid w:val="00C06930"/>
    <w:rsid w:val="00C155FC"/>
    <w:rsid w:val="00C16439"/>
    <w:rsid w:val="00C275DA"/>
    <w:rsid w:val="00C32E6E"/>
    <w:rsid w:val="00C61ED4"/>
    <w:rsid w:val="00C708AC"/>
    <w:rsid w:val="00C76C8A"/>
    <w:rsid w:val="00C95EC1"/>
    <w:rsid w:val="00CA04E0"/>
    <w:rsid w:val="00CE2A22"/>
    <w:rsid w:val="00CE3A72"/>
    <w:rsid w:val="00CF0E52"/>
    <w:rsid w:val="00D00A37"/>
    <w:rsid w:val="00D030F3"/>
    <w:rsid w:val="00D060A0"/>
    <w:rsid w:val="00D2072E"/>
    <w:rsid w:val="00D213EF"/>
    <w:rsid w:val="00D2538D"/>
    <w:rsid w:val="00D2542F"/>
    <w:rsid w:val="00D30FD5"/>
    <w:rsid w:val="00D501F6"/>
    <w:rsid w:val="00D55D0A"/>
    <w:rsid w:val="00D609FD"/>
    <w:rsid w:val="00D8013A"/>
    <w:rsid w:val="00D86CE1"/>
    <w:rsid w:val="00D938D3"/>
    <w:rsid w:val="00DA39BF"/>
    <w:rsid w:val="00DC1A40"/>
    <w:rsid w:val="00DC6613"/>
    <w:rsid w:val="00DD0E35"/>
    <w:rsid w:val="00DD5BCC"/>
    <w:rsid w:val="00DD791D"/>
    <w:rsid w:val="00DF23B1"/>
    <w:rsid w:val="00DF3AD0"/>
    <w:rsid w:val="00E04165"/>
    <w:rsid w:val="00E075BB"/>
    <w:rsid w:val="00E23F2F"/>
    <w:rsid w:val="00E26DF0"/>
    <w:rsid w:val="00E272B1"/>
    <w:rsid w:val="00E55BD2"/>
    <w:rsid w:val="00E57CFF"/>
    <w:rsid w:val="00E857DD"/>
    <w:rsid w:val="00EA2B62"/>
    <w:rsid w:val="00ED2089"/>
    <w:rsid w:val="00EE38EF"/>
    <w:rsid w:val="00EF206B"/>
    <w:rsid w:val="00F1103D"/>
    <w:rsid w:val="00F20EE1"/>
    <w:rsid w:val="00F30FE2"/>
    <w:rsid w:val="00F433D1"/>
    <w:rsid w:val="00F60018"/>
    <w:rsid w:val="00F6044E"/>
    <w:rsid w:val="00F96D90"/>
    <w:rsid w:val="00FB6F04"/>
    <w:rsid w:val="00FB79EB"/>
    <w:rsid w:val="00FC1957"/>
    <w:rsid w:val="00FE03BD"/>
    <w:rsid w:val="00FE6428"/>
    <w:rsid w:val="00FF30B6"/>
    <w:rsid w:val="00FF5265"/>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471291"/>
    <w:rPr>
      <w:rFonts w:ascii="Calibri" w:hAnsi="Calibri" w:cstheme="minorBidi"/>
      <w:szCs w:val="21"/>
    </w:rPr>
  </w:style>
  <w:style w:type="character" w:customStyle="1" w:styleId="PlainTextChar">
    <w:name w:val="Plain Text Char"/>
    <w:basedOn w:val="DefaultParagraphFont"/>
    <w:link w:val="PlainText"/>
    <w:uiPriority w:val="99"/>
    <w:rsid w:val="00471291"/>
    <w:rPr>
      <w:rFonts w:ascii="Calibri" w:hAnsi="Calibri" w:cstheme="minorBidi"/>
      <w:sz w:val="22"/>
      <w:szCs w:val="21"/>
    </w:rPr>
  </w:style>
  <w:style w:type="character" w:customStyle="1" w:styleId="UnresolvedMention1">
    <w:name w:val="Unresolved Mention1"/>
    <w:basedOn w:val="DefaultParagraphFont"/>
    <w:uiPriority w:val="99"/>
    <w:semiHidden/>
    <w:unhideWhenUsed/>
    <w:rsid w:val="00DF23B1"/>
    <w:rPr>
      <w:color w:val="605E5C"/>
      <w:shd w:val="clear" w:color="auto" w:fill="E1DFDD"/>
    </w:rPr>
  </w:style>
  <w:style w:type="character" w:customStyle="1" w:styleId="UnresolvedMention2">
    <w:name w:val="Unresolved Mention2"/>
    <w:basedOn w:val="DefaultParagraphFont"/>
    <w:uiPriority w:val="99"/>
    <w:semiHidden/>
    <w:unhideWhenUsed/>
    <w:rsid w:val="00A113F9"/>
    <w:rPr>
      <w:color w:val="605E5C"/>
      <w:shd w:val="clear" w:color="auto" w:fill="E1DFDD"/>
    </w:rPr>
  </w:style>
  <w:style w:type="paragraph" w:styleId="NormalWeb">
    <w:name w:val="Normal (Web)"/>
    <w:basedOn w:val="Normal"/>
    <w:uiPriority w:val="99"/>
    <w:unhideWhenUsed/>
    <w:rsid w:val="00994AD2"/>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D55D0A"/>
    <w:rPr>
      <w:color w:val="605E5C"/>
      <w:shd w:val="clear" w:color="auto" w:fill="E1DFDD"/>
    </w:rPr>
  </w:style>
  <w:style w:type="paragraph" w:styleId="Revision">
    <w:name w:val="Revision"/>
    <w:hidden/>
    <w:uiPriority w:val="99"/>
    <w:semiHidden/>
    <w:rsid w:val="008E6824"/>
    <w:rPr>
      <w:rFonts w:ascii="Cambria" w:hAnsi="Cambr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3292">
      <w:bodyDiv w:val="1"/>
      <w:marLeft w:val="0"/>
      <w:marRight w:val="0"/>
      <w:marTop w:val="0"/>
      <w:marBottom w:val="0"/>
      <w:divBdr>
        <w:top w:val="none" w:sz="0" w:space="0" w:color="auto"/>
        <w:left w:val="none" w:sz="0" w:space="0" w:color="auto"/>
        <w:bottom w:val="none" w:sz="0" w:space="0" w:color="auto"/>
        <w:right w:val="none" w:sz="0" w:space="0" w:color="auto"/>
      </w:divBdr>
    </w:div>
    <w:div w:id="432359234">
      <w:bodyDiv w:val="1"/>
      <w:marLeft w:val="0"/>
      <w:marRight w:val="0"/>
      <w:marTop w:val="0"/>
      <w:marBottom w:val="0"/>
      <w:divBdr>
        <w:top w:val="none" w:sz="0" w:space="0" w:color="auto"/>
        <w:left w:val="none" w:sz="0" w:space="0" w:color="auto"/>
        <w:bottom w:val="none" w:sz="0" w:space="0" w:color="auto"/>
        <w:right w:val="none" w:sz="0" w:space="0" w:color="auto"/>
      </w:divBdr>
    </w:div>
    <w:div w:id="487866496">
      <w:bodyDiv w:val="1"/>
      <w:marLeft w:val="0"/>
      <w:marRight w:val="0"/>
      <w:marTop w:val="0"/>
      <w:marBottom w:val="0"/>
      <w:divBdr>
        <w:top w:val="none" w:sz="0" w:space="0" w:color="auto"/>
        <w:left w:val="none" w:sz="0" w:space="0" w:color="auto"/>
        <w:bottom w:val="none" w:sz="0" w:space="0" w:color="auto"/>
        <w:right w:val="none" w:sz="0" w:space="0" w:color="auto"/>
      </w:divBdr>
    </w:div>
    <w:div w:id="648098905">
      <w:bodyDiv w:val="1"/>
      <w:marLeft w:val="0"/>
      <w:marRight w:val="0"/>
      <w:marTop w:val="0"/>
      <w:marBottom w:val="0"/>
      <w:divBdr>
        <w:top w:val="none" w:sz="0" w:space="0" w:color="auto"/>
        <w:left w:val="none" w:sz="0" w:space="0" w:color="auto"/>
        <w:bottom w:val="none" w:sz="0" w:space="0" w:color="auto"/>
        <w:right w:val="none" w:sz="0" w:space="0" w:color="auto"/>
      </w:divBdr>
    </w:div>
    <w:div w:id="866059614">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79924558">
      <w:bodyDiv w:val="1"/>
      <w:marLeft w:val="0"/>
      <w:marRight w:val="0"/>
      <w:marTop w:val="0"/>
      <w:marBottom w:val="0"/>
      <w:divBdr>
        <w:top w:val="none" w:sz="0" w:space="0" w:color="auto"/>
        <w:left w:val="none" w:sz="0" w:space="0" w:color="auto"/>
        <w:bottom w:val="none" w:sz="0" w:space="0" w:color="auto"/>
        <w:right w:val="none" w:sz="0" w:space="0" w:color="auto"/>
      </w:divBdr>
    </w:div>
    <w:div w:id="1036466296">
      <w:bodyDiv w:val="1"/>
      <w:marLeft w:val="0"/>
      <w:marRight w:val="0"/>
      <w:marTop w:val="0"/>
      <w:marBottom w:val="0"/>
      <w:divBdr>
        <w:top w:val="none" w:sz="0" w:space="0" w:color="auto"/>
        <w:left w:val="none" w:sz="0" w:space="0" w:color="auto"/>
        <w:bottom w:val="none" w:sz="0" w:space="0" w:color="auto"/>
        <w:right w:val="none" w:sz="0" w:space="0" w:color="auto"/>
      </w:divBdr>
    </w:div>
    <w:div w:id="1092243832">
      <w:bodyDiv w:val="1"/>
      <w:marLeft w:val="0"/>
      <w:marRight w:val="0"/>
      <w:marTop w:val="0"/>
      <w:marBottom w:val="0"/>
      <w:divBdr>
        <w:top w:val="none" w:sz="0" w:space="0" w:color="auto"/>
        <w:left w:val="none" w:sz="0" w:space="0" w:color="auto"/>
        <w:bottom w:val="none" w:sz="0" w:space="0" w:color="auto"/>
        <w:right w:val="none" w:sz="0" w:space="0" w:color="auto"/>
      </w:divBdr>
    </w:div>
    <w:div w:id="1160654630">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273829460">
      <w:bodyDiv w:val="1"/>
      <w:marLeft w:val="0"/>
      <w:marRight w:val="0"/>
      <w:marTop w:val="0"/>
      <w:marBottom w:val="0"/>
      <w:divBdr>
        <w:top w:val="none" w:sz="0" w:space="0" w:color="auto"/>
        <w:left w:val="none" w:sz="0" w:space="0" w:color="auto"/>
        <w:bottom w:val="none" w:sz="0" w:space="0" w:color="auto"/>
        <w:right w:val="none" w:sz="0" w:space="0" w:color="auto"/>
      </w:divBdr>
    </w:div>
    <w:div w:id="1412241253">
      <w:bodyDiv w:val="1"/>
      <w:marLeft w:val="0"/>
      <w:marRight w:val="0"/>
      <w:marTop w:val="0"/>
      <w:marBottom w:val="0"/>
      <w:divBdr>
        <w:top w:val="none" w:sz="0" w:space="0" w:color="auto"/>
        <w:left w:val="none" w:sz="0" w:space="0" w:color="auto"/>
        <w:bottom w:val="none" w:sz="0" w:space="0" w:color="auto"/>
        <w:right w:val="none" w:sz="0" w:space="0" w:color="auto"/>
      </w:divBdr>
    </w:div>
    <w:div w:id="1439567037">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04079533">
      <w:bodyDiv w:val="1"/>
      <w:marLeft w:val="0"/>
      <w:marRight w:val="0"/>
      <w:marTop w:val="0"/>
      <w:marBottom w:val="0"/>
      <w:divBdr>
        <w:top w:val="none" w:sz="0" w:space="0" w:color="auto"/>
        <w:left w:val="none" w:sz="0" w:space="0" w:color="auto"/>
        <w:bottom w:val="none" w:sz="0" w:space="0" w:color="auto"/>
        <w:right w:val="none" w:sz="0" w:space="0" w:color="auto"/>
      </w:divBdr>
    </w:div>
    <w:div w:id="1814786927">
      <w:bodyDiv w:val="1"/>
      <w:marLeft w:val="0"/>
      <w:marRight w:val="0"/>
      <w:marTop w:val="0"/>
      <w:marBottom w:val="0"/>
      <w:divBdr>
        <w:top w:val="none" w:sz="0" w:space="0" w:color="auto"/>
        <w:left w:val="none" w:sz="0" w:space="0" w:color="auto"/>
        <w:bottom w:val="none" w:sz="0" w:space="0" w:color="auto"/>
        <w:right w:val="none" w:sz="0" w:space="0" w:color="auto"/>
      </w:divBdr>
    </w:div>
    <w:div w:id="1853108788">
      <w:bodyDiv w:val="1"/>
      <w:marLeft w:val="0"/>
      <w:marRight w:val="0"/>
      <w:marTop w:val="0"/>
      <w:marBottom w:val="0"/>
      <w:divBdr>
        <w:top w:val="none" w:sz="0" w:space="0" w:color="auto"/>
        <w:left w:val="none" w:sz="0" w:space="0" w:color="auto"/>
        <w:bottom w:val="none" w:sz="0" w:space="0" w:color="auto"/>
        <w:right w:val="none" w:sz="0" w:space="0" w:color="auto"/>
      </w:divBdr>
    </w:div>
    <w:div w:id="1891383119">
      <w:bodyDiv w:val="1"/>
      <w:marLeft w:val="0"/>
      <w:marRight w:val="0"/>
      <w:marTop w:val="0"/>
      <w:marBottom w:val="0"/>
      <w:divBdr>
        <w:top w:val="none" w:sz="0" w:space="0" w:color="auto"/>
        <w:left w:val="none" w:sz="0" w:space="0" w:color="auto"/>
        <w:bottom w:val="none" w:sz="0" w:space="0" w:color="auto"/>
        <w:right w:val="none" w:sz="0" w:space="0" w:color="auto"/>
      </w:divBdr>
    </w:div>
    <w:div w:id="1924559701">
      <w:bodyDiv w:val="1"/>
      <w:marLeft w:val="0"/>
      <w:marRight w:val="0"/>
      <w:marTop w:val="0"/>
      <w:marBottom w:val="0"/>
      <w:divBdr>
        <w:top w:val="none" w:sz="0" w:space="0" w:color="auto"/>
        <w:left w:val="none" w:sz="0" w:space="0" w:color="auto"/>
        <w:bottom w:val="none" w:sz="0" w:space="0" w:color="auto"/>
        <w:right w:val="none" w:sz="0" w:space="0" w:color="auto"/>
      </w:divBdr>
    </w:div>
    <w:div w:id="21106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onetwork.org/" TargetMode="External"/><Relationship Id="rId13" Type="http://schemas.openxmlformats.org/officeDocument/2006/relationships/hyperlink" Target="https://go.ufl.edu/syllabus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ufl.edu/ugrad/current/regulations/info/grade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D/academic-regulations/attendance-policies/" TargetMode="External"/><Relationship Id="rId5" Type="http://schemas.openxmlformats.org/officeDocument/2006/relationships/webSettings" Target="webSettings.xml"/><Relationship Id="rId15" Type="http://schemas.openxmlformats.org/officeDocument/2006/relationships/hyperlink" Target="mailto:pld@ufl.edu" TargetMode="External"/><Relationship Id="rId10" Type="http://schemas.openxmlformats.org/officeDocument/2006/relationships/hyperlink" Target="http://www.dnaftb.org/34" TargetMode="External"/><Relationship Id="rId4" Type="http://schemas.openxmlformats.org/officeDocument/2006/relationships/settings" Target="settings.xml"/><Relationship Id="rId9" Type="http://schemas.openxmlformats.org/officeDocument/2006/relationships/hyperlink" Target="http://www.dnaftb.org/33" TargetMode="External"/><Relationship Id="rId14" Type="http://schemas.openxmlformats.org/officeDocument/2006/relationships/hyperlink" Target="mailto:student-support-hr@eng.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AE40-BD1D-4D07-B94A-62797FBB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1206</Words>
  <Characters>7850</Characters>
  <Application>Microsoft Office Word</Application>
  <DocSecurity>0</DocSecurity>
  <Lines>178</Lines>
  <Paragraphs>80</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8976</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Correll,Melanie J</cp:lastModifiedBy>
  <cp:revision>50</cp:revision>
  <cp:lastPrinted>2025-11-26T13:36:00Z</cp:lastPrinted>
  <dcterms:created xsi:type="dcterms:W3CDTF">2025-11-26T13:41:00Z</dcterms:created>
  <dcterms:modified xsi:type="dcterms:W3CDTF">2025-11-26T14:32:00Z</dcterms:modified>
</cp:coreProperties>
</file>